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Lines="0" w:after="0" w:afterLines="0" w:line="560" w:lineRule="exact"/>
        <w:ind w:right="0" w:rightChars="0"/>
        <w:textAlignment w:val="auto"/>
        <w:outlineLvl w:val="9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附件1：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广东省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  <w:t>节能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先进集体和先进个人评选表彰工作领导小组及办公室成员名单</w:t>
      </w:r>
    </w:p>
    <w:tbl>
      <w:tblPr>
        <w:tblStyle w:val="3"/>
        <w:tblpPr w:leftFromText="180" w:rightFromText="180" w:vertAnchor="text" w:horzAnchor="page" w:tblpX="1862" w:tblpY="561"/>
        <w:tblOverlap w:val="never"/>
        <w:tblW w:w="85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0"/>
        <w:gridCol w:w="1275"/>
        <w:gridCol w:w="52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540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Lines="0" w:after="0" w:afterLines="0" w:line="560" w:lineRule="exact"/>
              <w:ind w:right="0" w:rightChars="0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一、评选表彰工作领导小组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  <w:t>组</w:t>
            </w: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  <w:t>长：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  <w:t>郑勇明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省</w:t>
            </w:r>
            <w:r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  <w:t>经济和信息化委党组成员、副主任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27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val="en-US" w:eastAsia="zh-CN"/>
              </w:rPr>
              <w:t>郑朝阳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省人力资源和社会保障厅</w:t>
            </w: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巡视员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  <w:t>成</w:t>
            </w: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  <w:t>员：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  <w:t>张振祥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  <w:t>省经济和信息化委节能与循环经济处处长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27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val="en-US" w:eastAsia="zh-CN"/>
              </w:rPr>
              <w:t>胡美娟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省人力资源和社会保障厅</w:t>
            </w:r>
            <w:r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  <w:t>省表彰奖励办公室主任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27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val="en-US" w:eastAsia="zh-CN"/>
              </w:rPr>
              <w:t>肖振宇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  <w:t>省经济和信息化委人事处副处长（主持工作）</w:t>
            </w: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540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二、评选表彰工作领导小组办公室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  <w:t>主</w:t>
            </w: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  <w:t>任：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  <w:t>张振祥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  <w:t>（兼）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  <w:t>成</w:t>
            </w: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  <w:t>员：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  <w:t>孙青林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  <w:t>省经济和信息化委节能与循环经济处副处长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275" w:type="dxa"/>
            <w:tcBorders>
              <w:tl2br w:val="nil"/>
              <w:tr2bl w:val="nil"/>
            </w:tcBorders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肖爱云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  <w:t>省经济和信息化委人事处副调研员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275" w:type="dxa"/>
            <w:tcBorders>
              <w:tl2br w:val="nil"/>
              <w:tr2bl w:val="nil"/>
            </w:tcBorders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  <w:t>姚钢锋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  <w:t>省经济和信息化委节能与循环经济处副主任科员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27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520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Lines="0" w:after="0" w:afterLines="0" w:line="580" w:lineRule="exact"/>
        <w:ind w:left="720" w:right="0" w:rightChars="0"/>
        <w:jc w:val="left"/>
        <w:textAlignment w:val="auto"/>
        <w:outlineLvl w:val="9"/>
        <w:rPr>
          <w:rFonts w:hint="eastAsia" w:ascii="仿宋_GB2312" w:hAnsi="宋体" w:eastAsia="仿宋_GB2312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94B27A8"/>
    <w:rsid w:val="1B8D142B"/>
    <w:rsid w:val="2004761F"/>
    <w:rsid w:val="29ED0ECC"/>
    <w:rsid w:val="45F04855"/>
    <w:rsid w:val="6613600D"/>
    <w:rsid w:val="7DD156C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姚钢锋</cp:lastModifiedBy>
  <dcterms:modified xsi:type="dcterms:W3CDTF">2018-09-21T08:16:31Z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