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eastAsia="方正小标宋简体" w:cs="Times New Roman"/>
          <w:sz w:val="44"/>
          <w:szCs w:val="44"/>
          <w:lang w:val="en-US" w:eastAsia="zh-CN"/>
        </w:rPr>
        <w:t>《</w:t>
      </w:r>
      <w:r>
        <w:rPr>
          <w:rFonts w:hint="default" w:eastAsia="方正小标宋简体" w:cs="Times New Roman"/>
          <w:sz w:val="44"/>
          <w:szCs w:val="44"/>
          <w:lang w:val="en-US" w:eastAsia="zh-CN"/>
        </w:rPr>
        <w:t>广东省工业和信息化厅关于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民用爆炸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物品销售许可证照分离改革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</w:t>
      </w:r>
      <w:r>
        <w:rPr>
          <w:rFonts w:hint="default" w:eastAsia="方正小标宋简体" w:cs="Times New Roman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措施》</w:t>
      </w:r>
      <w:r>
        <w:rPr>
          <w:rFonts w:hint="default" w:eastAsia="方正小标宋简体" w:cs="Times New Roman"/>
          <w:sz w:val="44"/>
          <w:szCs w:val="44"/>
          <w:lang w:val="en-US" w:eastAsia="zh-CN"/>
        </w:rPr>
        <w:t>解读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根据《广东省人民政府办公厅关于印发广东省政府系统政策解读工作细则（试行）的通知》（粤办函〔2018〕360号）有关要求，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就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我厅印发的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广东省工业和信息化厅关于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民用爆炸物品销售许可证照分离改革工作措施》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u w:val="none"/>
          <w:lang w:val="en-US" w:eastAsia="zh-CN"/>
        </w:rPr>
        <w:t>粤工信规字〔2019〕1号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有关内容解读如下：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eastAsia="黑体" w:cs="Times New Roman"/>
          <w:sz w:val="32"/>
          <w:szCs w:val="32"/>
          <w:lang w:eastAsia="zh-CN"/>
        </w:rPr>
        <w:t>文件</w:t>
      </w:r>
      <w:r>
        <w:rPr>
          <w:rFonts w:ascii="Times New Roman" w:hAnsi="Times New Roman" w:eastAsia="黑体" w:cs="Times New Roman"/>
          <w:sz w:val="32"/>
          <w:szCs w:val="32"/>
        </w:rPr>
        <w:t>背景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9月27日国务院印发了《关于在全国推开“证照分离”改革的通知》（国发〔2018〕35号），决定在全国推开“证照分离”改革。在106项改革具体事项中，涉及我厅的为第87项“民用爆炸物品销售许可”，改革方式为“优化准入服务”。依据相关法律法规和标准规范，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我厅启动了证照分离改革工作并草拟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《民用爆炸物品销售许可证照分离改革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》（以下简称《销售许可改革措施》）。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起草主要依据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《销售许可改革措施》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主要参照以下法律法规和技术规范：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《销售许可改革措施》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条依据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民用爆炸物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安全管理条例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令第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号，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令第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653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ascii="Times New Roman" w:hAnsi="Times New Roman" w:eastAsia="仿宋_GB2312" w:cs="Times New Roman"/>
          <w:sz w:val="32"/>
          <w:szCs w:val="32"/>
        </w:rPr>
        <w:t>修订）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十八条第（二）项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）《民用爆炸物品生产、销售企业安全管理规程》（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GB28263-2012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5.13项。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《销售许可改革措施》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条依据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民用爆炸物品</w:t>
      </w:r>
      <w:r>
        <w:rPr>
          <w:rFonts w:ascii="Times New Roman" w:hAnsi="Times New Roman" w:eastAsia="仿宋_GB2312" w:cs="Times New Roman"/>
          <w:sz w:val="32"/>
          <w:szCs w:val="32"/>
        </w:rPr>
        <w:t>销售许可实施办法》（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2006年国防科工委令第18号，</w:t>
      </w:r>
      <w:r>
        <w:rPr>
          <w:rFonts w:ascii="Times New Roman" w:hAnsi="Times New Roman" w:eastAsia="仿宋_GB2312" w:cs="Times New Roman"/>
          <w:sz w:val="32"/>
          <w:szCs w:val="32"/>
        </w:rPr>
        <w:t>2015年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工业和信息化部令第29号</w:t>
      </w:r>
      <w:r>
        <w:rPr>
          <w:rFonts w:ascii="Times New Roman" w:hAnsi="Times New Roman" w:eastAsia="仿宋_GB2312" w:cs="Times New Roman"/>
          <w:sz w:val="32"/>
          <w:szCs w:val="32"/>
        </w:rPr>
        <w:t>修订）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二十九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《销售许可改革措施》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8、9、10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条依据：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民用爆炸物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安全管理条例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令第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466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号，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令第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653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ascii="Times New Roman" w:hAnsi="Times New Roman" w:eastAsia="仿宋_GB2312" w:cs="Times New Roman"/>
          <w:sz w:val="32"/>
          <w:szCs w:val="32"/>
        </w:rPr>
        <w:t>修订）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第一款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《销售许可改革措施》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条依据：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民用爆炸物品</w:t>
      </w:r>
      <w:r>
        <w:rPr>
          <w:rFonts w:ascii="Times New Roman" w:hAnsi="Times New Roman" w:eastAsia="仿宋_GB2312" w:cs="Times New Roman"/>
          <w:sz w:val="32"/>
          <w:szCs w:val="32"/>
        </w:rPr>
        <w:t>销售许可实施办法》（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2006年国防科工委令第18号，</w:t>
      </w:r>
      <w:r>
        <w:rPr>
          <w:rFonts w:ascii="Times New Roman" w:hAnsi="Times New Roman" w:eastAsia="仿宋_GB2312" w:cs="Times New Roman"/>
          <w:sz w:val="32"/>
          <w:szCs w:val="32"/>
        </w:rPr>
        <w:t>2015年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工业和信息化部令第29号</w:t>
      </w:r>
      <w:r>
        <w:rPr>
          <w:rFonts w:ascii="Times New Roman" w:hAnsi="Times New Roman" w:eastAsia="仿宋_GB2312" w:cs="Times New Roman"/>
          <w:sz w:val="32"/>
          <w:szCs w:val="32"/>
        </w:rPr>
        <w:t>修订）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三十二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主要内容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《销售许可改革措施》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起草的目的是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落实国务院“证照分离”改革部署，进一步营造稳定、公平、透明、可预期的市场准入环境，指导各级</w:t>
      </w:r>
      <w:r>
        <w:rPr>
          <w:rFonts w:hint="default" w:eastAsia="仿宋_GB2312" w:cs="Times New Roman"/>
          <w:sz w:val="32"/>
          <w:szCs w:val="32"/>
          <w:lang w:eastAsia="zh-CN"/>
        </w:rPr>
        <w:t>工业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和信息化主管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落实许可事中事后监管职责。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在起草过程中，严格遵循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有关法律法规和标准规范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，并结合广东省实际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进一步细化事中事后监管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，力求针对现实、可操作性强。</w:t>
      </w:r>
    </w:p>
    <w:p>
      <w:pPr>
        <w:spacing w:line="560" w:lineRule="exact"/>
        <w:ind w:firstLine="640" w:firstLineChars="200"/>
        <w:rPr>
          <w:rFonts w:hint="default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《销售许可改革措施》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的内容由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三部分十一条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组成</w:t>
      </w:r>
      <w:r>
        <w:rPr>
          <w:rFonts w:hint="default" w:eastAsia="仿宋_GB2312" w:cs="Times New Roman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default" w:eastAsia="仿宋_GB2312" w:cs="Times New Roman"/>
          <w:sz w:val="32"/>
          <w:szCs w:val="32"/>
          <w:lang w:eastAsia="zh-CN"/>
        </w:rPr>
      </w:pPr>
      <w:r>
        <w:rPr>
          <w:rFonts w:hint="default" w:eastAsia="仿宋_GB2312" w:cs="Times New Roman"/>
          <w:sz w:val="32"/>
          <w:szCs w:val="32"/>
          <w:lang w:eastAsia="zh-CN"/>
        </w:rPr>
        <w:t>第一部分“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明示审批要求</w:t>
      </w:r>
      <w:r>
        <w:rPr>
          <w:rFonts w:hint="default" w:eastAsia="仿宋_GB2312" w:cs="Times New Roman"/>
          <w:sz w:val="32"/>
          <w:szCs w:val="32"/>
          <w:lang w:eastAsia="zh-CN"/>
        </w:rPr>
        <w:t>”，是对实施机关公开审批要素、审批期限和审查方式进行事前公开，通过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主动向申请人</w:t>
      </w:r>
      <w:r>
        <w:rPr>
          <w:rFonts w:hint="default" w:eastAsia="仿宋_GB2312" w:cs="Times New Roman"/>
          <w:sz w:val="32"/>
          <w:szCs w:val="32"/>
          <w:lang w:eastAsia="zh-CN"/>
        </w:rPr>
        <w:t>进行事前公开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，做好前端引导和服务，</w:t>
      </w:r>
      <w:r>
        <w:rPr>
          <w:rFonts w:hint="default" w:eastAsia="仿宋_GB2312" w:cs="Times New Roman"/>
          <w:sz w:val="32"/>
          <w:szCs w:val="32"/>
          <w:lang w:eastAsia="zh-CN"/>
        </w:rPr>
        <w:t>公示内容基本依据《民用爆炸物品销售许可实施办法》的有关规定。</w:t>
      </w:r>
    </w:p>
    <w:p>
      <w:pPr>
        <w:spacing w:line="560" w:lineRule="exact"/>
        <w:ind w:firstLine="640" w:firstLineChars="200"/>
        <w:rPr>
          <w:rFonts w:hint="default" w:eastAsia="仿宋_GB2312" w:cs="Times New Roman"/>
          <w:sz w:val="32"/>
          <w:szCs w:val="32"/>
          <w:lang w:eastAsia="zh-CN"/>
        </w:rPr>
      </w:pPr>
      <w:r>
        <w:rPr>
          <w:rFonts w:hint="default" w:eastAsia="仿宋_GB2312" w:cs="Times New Roman"/>
          <w:sz w:val="32"/>
          <w:szCs w:val="32"/>
          <w:lang w:eastAsia="zh-CN"/>
        </w:rPr>
        <w:t>第二部分“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市场准入监控</w:t>
      </w:r>
      <w:r>
        <w:rPr>
          <w:rFonts w:hint="default" w:eastAsia="仿宋_GB2312" w:cs="Times New Roman"/>
          <w:sz w:val="32"/>
          <w:szCs w:val="32"/>
          <w:lang w:eastAsia="zh-CN"/>
        </w:rPr>
        <w:t>”，是对已向社会核发的《</w:t>
      </w:r>
      <w:r>
        <w:rPr>
          <w:rFonts w:eastAsia="仿宋_GB2312"/>
          <w:sz w:val="32"/>
          <w:szCs w:val="32"/>
        </w:rPr>
        <w:t>民用爆炸物品销售许可证</w:t>
      </w:r>
      <w:r>
        <w:rPr>
          <w:rFonts w:hint="default" w:eastAsia="仿宋_GB2312" w:cs="Times New Roman"/>
          <w:sz w:val="32"/>
          <w:szCs w:val="32"/>
          <w:lang w:eastAsia="zh-CN"/>
        </w:rPr>
        <w:t>》的</w:t>
      </w:r>
      <w:r>
        <w:rPr>
          <w:rFonts w:eastAsia="仿宋_GB2312"/>
          <w:sz w:val="32"/>
          <w:szCs w:val="32"/>
        </w:rPr>
        <w:t>出租、出借、转让</w:t>
      </w:r>
      <w:r>
        <w:rPr>
          <w:rFonts w:hint="default" w:eastAsia="仿宋_GB2312"/>
          <w:sz w:val="32"/>
          <w:szCs w:val="32"/>
          <w:lang w:eastAsia="zh-CN"/>
        </w:rPr>
        <w:t>等行为作出禁止规定，依据的是《民用爆炸物品安全管理条例》和</w:t>
      </w:r>
      <w:r>
        <w:rPr>
          <w:rFonts w:hint="default" w:eastAsia="仿宋_GB2312" w:cs="Times New Roman"/>
          <w:sz w:val="32"/>
          <w:szCs w:val="32"/>
          <w:lang w:eastAsia="zh-CN"/>
        </w:rPr>
        <w:t>《民用爆炸物品销售许可实施办法》的有关规定。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eastAsia="zh-CN"/>
        </w:rPr>
        <w:t>第三部分“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事中事后监管</w:t>
      </w:r>
      <w:r>
        <w:rPr>
          <w:rFonts w:hint="default" w:eastAsia="仿宋_GB2312" w:cs="Times New Roman"/>
          <w:sz w:val="32"/>
          <w:szCs w:val="32"/>
          <w:lang w:eastAsia="zh-CN"/>
        </w:rPr>
        <w:t>”，是对已</w:t>
      </w:r>
      <w:r>
        <w:rPr>
          <w:rFonts w:eastAsia="仿宋_GB2312"/>
          <w:sz w:val="32"/>
          <w:szCs w:val="32"/>
        </w:rPr>
        <w:t>取得民用爆炸物品销售许可的企业</w:t>
      </w:r>
      <w:r>
        <w:rPr>
          <w:rFonts w:hint="default" w:eastAsia="仿宋_GB2312"/>
          <w:sz w:val="32"/>
          <w:szCs w:val="32"/>
          <w:lang w:eastAsia="zh-CN"/>
        </w:rPr>
        <w:t>进行安全生产</w:t>
      </w:r>
      <w:r>
        <w:rPr>
          <w:rFonts w:eastAsia="仿宋_GB2312"/>
          <w:sz w:val="32"/>
          <w:szCs w:val="32"/>
        </w:rPr>
        <w:t>监管</w:t>
      </w:r>
      <w:r>
        <w:rPr>
          <w:rFonts w:hint="default" w:eastAsia="仿宋_GB2312"/>
          <w:sz w:val="32"/>
          <w:szCs w:val="32"/>
          <w:lang w:eastAsia="zh-CN"/>
        </w:rPr>
        <w:t>，监管内容包括开展多种方式的安全生产监督检查、对企业进行安全生产风险分级管控、建立企业安全生产诚信体系、对违法违规行为进行处罚等四项内容。其中开展分级管控、建立安全生产诚信体系可以有效进行风险监测研判，提高发现问题和防范化解安全生产风险的能力，做到早发现、早预警。</w:t>
      </w:r>
      <w:r>
        <w:rPr>
          <w:rFonts w:hint="default" w:eastAsia="仿宋_GB2312"/>
          <w:sz w:val="32"/>
          <w:szCs w:val="32"/>
          <w:lang w:eastAsia="zh-CN"/>
        </w:rPr>
        <w:t>采取多种方式检查加强</w:t>
      </w:r>
      <w:r>
        <w:rPr>
          <w:rFonts w:hint="default" w:eastAsia="仿宋_GB2312"/>
          <w:sz w:val="32"/>
          <w:szCs w:val="32"/>
          <w:lang w:eastAsia="zh-CN"/>
        </w:rPr>
        <w:t>事中事后监管，既可以较为全面的覆盖民爆企业，又可以安全生产条件不同的企业进行差异化监管，有效增强了“事中事后”监管效果。</w:t>
      </w:r>
    </w:p>
    <w:p>
      <w:pPr>
        <w:spacing w:line="560" w:lineRule="exact"/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FKai-SB">
    <w:altName w:val="Arial Unicode MS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_x000C_.渊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文星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_x000B__x000C_">
    <w:altName w:val="Segoe Print"/>
    <w:panose1 w:val="00000604030504040204"/>
    <w:charset w:val="01"/>
    <w:family w:val="roman"/>
    <w:pitch w:val="default"/>
    <w:sig w:usb0="00000000" w:usb1="00000000" w:usb2="00320000" w:usb3="00310033" w:csb0="00000032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ChineseWhisper">
    <w:altName w:val="Segoe Print"/>
    <w:panose1 w:val="02000609020000020004"/>
    <w:charset w:val="00"/>
    <w:family w:val="auto"/>
    <w:pitch w:val="default"/>
    <w:sig w:usb0="00000000" w:usb1="00000000" w:usb2="00000000" w:usb3="00000000" w:csb0="00000000" w:csb1="00000000"/>
  </w:font>
  <w:font w:name="MS UI Gothic">
    <w:altName w:val="Meiryo UI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S PGothic">
    <w:altName w:val="Meiryo UI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S PMincho">
    <w:altName w:val="MS Mincho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36BC"/>
    <w:multiLevelType w:val="singleLevel"/>
    <w:tmpl w:val="571436B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143EC6"/>
    <w:multiLevelType w:val="singleLevel"/>
    <w:tmpl w:val="57143EC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C760F"/>
    <w:rsid w:val="002A199D"/>
    <w:rsid w:val="03CA7061"/>
    <w:rsid w:val="1AA064A4"/>
    <w:rsid w:val="23EF1ECC"/>
    <w:rsid w:val="380175A3"/>
    <w:rsid w:val="3AD416CF"/>
    <w:rsid w:val="46732604"/>
    <w:rsid w:val="4D0C760F"/>
    <w:rsid w:val="5DD07285"/>
    <w:rsid w:val="5E025174"/>
    <w:rsid w:val="634E2C17"/>
    <w:rsid w:val="65E25F5C"/>
    <w:rsid w:val="6DBD601F"/>
    <w:rsid w:val="79832E30"/>
    <w:rsid w:val="7D7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2020-06-12T04:02:00Z</dcterms:created>
  <dc:creator>李春</dc:creator>
  <cp:lastModifiedBy>刘春帆</cp:lastModifiedBy>
  <dcterms:modified xsi:type="dcterms:W3CDTF">2020-06-15T04:11:57Z</dcterms:modified>
  <dc:title>《民用爆炸物品销售许可证照分离改革工作措施》解读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