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0"/>
          <w:numId w:val="0"/>
        </w:numPr>
        <w:ind w:leftChars="0"/>
        <w:jc w:val="both"/>
        <w:outlineLvl w:val="0"/>
        <w:rPr>
          <w:rFonts w:hint="eastAsia" w:ascii="黑体" w:hAnsi="黑体" w:eastAsia="黑体"/>
          <w:b w:val="0"/>
          <w:bCs/>
          <w:sz w:val="32"/>
          <w:szCs w:val="32"/>
          <w:lang w:val="en-US" w:eastAsia="zh-CN"/>
        </w:rPr>
      </w:pPr>
      <w:bookmarkStart w:id="26" w:name="_GoBack"/>
      <w:bookmarkEnd w:id="26"/>
      <w:bookmarkStart w:id="0" w:name="_Toc41468337"/>
      <w:bookmarkStart w:id="1" w:name="_Toc43200764"/>
      <w:r>
        <w:rPr>
          <w:rFonts w:hint="eastAsia" w:ascii="黑体" w:hAnsi="黑体" w:eastAsia="黑体"/>
          <w:b w:val="0"/>
          <w:bCs/>
          <w:sz w:val="32"/>
          <w:szCs w:val="32"/>
          <w:lang w:eastAsia="zh-CN"/>
        </w:rPr>
        <w:t>附件</w:t>
      </w:r>
      <w:r>
        <w:rPr>
          <w:rFonts w:hint="eastAsia" w:ascii="黑体" w:hAnsi="黑体" w:eastAsia="黑体"/>
          <w:b w:val="0"/>
          <w:bCs/>
          <w:sz w:val="32"/>
          <w:szCs w:val="32"/>
          <w:lang w:val="en-US" w:eastAsia="zh-CN"/>
        </w:rPr>
        <w:t>1</w:t>
      </w:r>
    </w:p>
    <w:p>
      <w:pPr>
        <w:pStyle w:val="5"/>
        <w:numPr>
          <w:ilvl w:val="0"/>
          <w:numId w:val="0"/>
        </w:numPr>
        <w:ind w:leftChars="0"/>
        <w:jc w:val="center"/>
        <w:outlineLvl w:val="0"/>
        <w:rPr>
          <w:rFonts w:hint="eastAsia" w:ascii="宋体" w:hAnsi="宋体" w:cs="宋体"/>
          <w:color w:val="000000"/>
          <w:kern w:val="0"/>
          <w:sz w:val="28"/>
          <w:szCs w:val="28"/>
        </w:rPr>
      </w:pPr>
      <w:r>
        <w:rPr>
          <w:rFonts w:hint="eastAsia" w:ascii="方正小标宋简体" w:hAnsi="方正小标宋简体" w:eastAsia="方正小标宋简体" w:cs="方正小标宋简体"/>
          <w:b w:val="0"/>
          <w:bCs/>
          <w:sz w:val="36"/>
          <w:szCs w:val="36"/>
        </w:rPr>
        <w:t>用户需求</w:t>
      </w:r>
      <w:bookmarkEnd w:id="0"/>
      <w:bookmarkEnd w:id="1"/>
    </w:p>
    <w:p>
      <w:pPr>
        <w:rPr>
          <w:rFonts w:ascii="宋体" w:hAnsi="宋体" w:cs="宋体"/>
          <w:color w:val="000000"/>
          <w:kern w:val="0"/>
          <w:sz w:val="28"/>
          <w:szCs w:val="28"/>
        </w:rPr>
      </w:pPr>
      <w:r>
        <w:rPr>
          <w:rFonts w:hint="eastAsia" w:ascii="宋体" w:hAnsi="宋体" w:cs="宋体"/>
          <w:color w:val="000000"/>
          <w:kern w:val="0"/>
          <w:sz w:val="28"/>
          <w:szCs w:val="28"/>
        </w:rPr>
        <w:t xml:space="preserve">“★”号条款 </w:t>
      </w:r>
    </w:p>
    <w:p>
      <w:pPr>
        <w:rPr>
          <w:rFonts w:ascii="宋体" w:hAnsi="宋体" w:cs="宋体"/>
          <w:color w:val="000000"/>
          <w:kern w:val="0"/>
          <w:sz w:val="28"/>
          <w:szCs w:val="28"/>
        </w:rPr>
      </w:pPr>
      <w:r>
        <w:rPr>
          <w:rFonts w:hint="eastAsia" w:ascii="宋体" w:hAnsi="宋体" w:cs="宋体"/>
          <w:color w:val="000000"/>
          <w:kern w:val="0"/>
          <w:sz w:val="28"/>
          <w:szCs w:val="28"/>
        </w:rPr>
        <w:t>《用户需求》中标注有“★”号的条款必须实质性响应，负偏离（不满足要求）将导致投标无效。</w:t>
      </w:r>
    </w:p>
    <w:p>
      <w:pPr>
        <w:pStyle w:val="6"/>
        <w:widowControl/>
        <w:numPr>
          <w:ilvl w:val="0"/>
          <w:numId w:val="1"/>
        </w:numPr>
        <w:ind w:firstLineChars="0"/>
        <w:jc w:val="left"/>
        <w:outlineLvl w:val="1"/>
        <w:rPr>
          <w:rFonts w:ascii="黑体" w:hAnsi="黑体" w:eastAsia="黑体" w:cs="黑体"/>
          <w:b/>
          <w:sz w:val="28"/>
          <w:szCs w:val="28"/>
        </w:rPr>
      </w:pPr>
      <w:bookmarkStart w:id="2" w:name="_Toc41468338"/>
      <w:bookmarkStart w:id="3" w:name="_Toc46351584"/>
      <w:r>
        <w:rPr>
          <w:rFonts w:hint="eastAsia" w:ascii="黑体" w:hAnsi="黑体" w:eastAsia="黑体" w:cs="黑体"/>
          <w:b/>
          <w:sz w:val="28"/>
          <w:szCs w:val="28"/>
        </w:rPr>
        <w:t>项目建设内容</w:t>
      </w:r>
      <w:bookmarkEnd w:id="2"/>
      <w:bookmarkEnd w:id="3"/>
    </w:p>
    <w:p>
      <w:pPr>
        <w:widowControl/>
        <w:ind w:firstLine="565" w:firstLineChars="202"/>
        <w:jc w:val="left"/>
        <w:rPr>
          <w:rFonts w:ascii="宋体" w:hAnsi="宋体" w:cs="宋体"/>
          <w:color w:val="000000"/>
          <w:kern w:val="0"/>
          <w:sz w:val="28"/>
          <w:szCs w:val="28"/>
        </w:rPr>
      </w:pPr>
      <w:r>
        <w:rPr>
          <w:rFonts w:hint="eastAsia" w:ascii="宋体" w:hAnsi="宋体" w:cs="宋体"/>
          <w:color w:val="000000"/>
          <w:kern w:val="0"/>
          <w:sz w:val="28"/>
          <w:szCs w:val="28"/>
        </w:rPr>
        <w:t>对省工业和信息化厅2021年拟立项项目信息系统，提供密码应用建设方案评估服务。在系统规划立项阶段，按照GM/T0054-2018《信息系统密码应用基本要求》及国家有关商用密码应用有关法律法规、政策标准的要求，对</w:t>
      </w:r>
      <w:r>
        <w:rPr>
          <w:rFonts w:hint="eastAsia" w:ascii="宋体" w:hAnsi="宋体" w:cs="宋体"/>
          <w:color w:val="000000"/>
          <w:kern w:val="0"/>
          <w:sz w:val="28"/>
          <w:szCs w:val="28"/>
          <w:lang w:eastAsia="zh-CN"/>
        </w:rPr>
        <w:t>信息</w:t>
      </w:r>
      <w:r>
        <w:rPr>
          <w:rFonts w:hint="eastAsia" w:ascii="宋体" w:hAnsi="宋体" w:cs="宋体"/>
          <w:color w:val="000000"/>
          <w:kern w:val="0"/>
          <w:sz w:val="28"/>
          <w:szCs w:val="28"/>
        </w:rPr>
        <w:t>系统的密码应用建设方案（包括《密码应用解决方案》、《实施方案》与《应急处置方案》）进行评估。主要是对方案的完整性和合理性、密码应用的正确性、密码技术对信息系统安全保护的有效性、密码产品选取的合规性等方面进行评估，并出具《</w:t>
      </w:r>
      <w:r>
        <w:rPr>
          <w:rFonts w:hint="eastAsia" w:ascii="宋体" w:hAnsi="宋体" w:cs="宋体"/>
          <w:color w:val="000000"/>
          <w:kern w:val="0"/>
          <w:sz w:val="28"/>
          <w:szCs w:val="28"/>
          <w:lang w:eastAsia="zh-CN"/>
        </w:rPr>
        <w:t>密码应用建设方案</w:t>
      </w:r>
      <w:r>
        <w:rPr>
          <w:rFonts w:hint="eastAsia" w:ascii="宋体" w:hAnsi="宋体" w:cs="宋体"/>
          <w:color w:val="000000"/>
          <w:kern w:val="0"/>
          <w:sz w:val="28"/>
          <w:szCs w:val="28"/>
        </w:rPr>
        <w:t>评估报告》。</w:t>
      </w:r>
    </w:p>
    <w:p>
      <w:pPr>
        <w:ind w:firstLine="560" w:firstLineChars="200"/>
        <w:rPr>
          <w:rFonts w:ascii="宋体" w:hAnsi="宋体" w:cs="宋体"/>
          <w:color w:val="000000"/>
          <w:kern w:val="0"/>
          <w:sz w:val="28"/>
          <w:szCs w:val="28"/>
        </w:rPr>
      </w:pPr>
      <w:r>
        <w:rPr>
          <w:rFonts w:hint="eastAsia" w:ascii="宋体" w:hAnsi="宋体" w:cs="宋体"/>
          <w:color w:val="000000"/>
          <w:kern w:val="0"/>
          <w:sz w:val="28"/>
          <w:szCs w:val="28"/>
        </w:rPr>
        <w:t>针对</w:t>
      </w:r>
      <w:r>
        <w:rPr>
          <w:rFonts w:hint="eastAsia" w:ascii="宋体" w:hAnsi="宋体" w:cs="宋体"/>
          <w:color w:val="000000"/>
          <w:kern w:val="0"/>
          <w:sz w:val="28"/>
          <w:szCs w:val="28"/>
          <w:lang w:eastAsia="zh-CN"/>
        </w:rPr>
        <w:t>信息</w:t>
      </w:r>
      <w:r>
        <w:rPr>
          <w:rFonts w:hint="eastAsia" w:ascii="宋体" w:hAnsi="宋体" w:cs="宋体"/>
          <w:color w:val="000000"/>
          <w:kern w:val="0"/>
          <w:sz w:val="28"/>
          <w:szCs w:val="28"/>
        </w:rPr>
        <w:t>系统密码应用建设方案开展评估，从总体要求、物理和环境、网络和通信、设备和计算、应用和数据、密钥管理、安全管理等方面开展测评，具体测评指标如下（以等级保护第三级信息系统为例）：</w:t>
      </w:r>
    </w:p>
    <w:tbl>
      <w:tblPr>
        <w:tblStyle w:val="4"/>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9"/>
        <w:gridCol w:w="1419"/>
        <w:gridCol w:w="656"/>
        <w:gridCol w:w="5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1569" w:type="dxa"/>
            <w:shd w:val="clear" w:color="auto" w:fill="D0CECE"/>
            <w:vAlign w:val="center"/>
          </w:tcPr>
          <w:p>
            <w:pPr>
              <w:spacing w:line="360" w:lineRule="auto"/>
              <w:jc w:val="center"/>
              <w:rPr>
                <w:rFonts w:ascii="仿宋_GB2312" w:hAnsi="仿宋_GB2312" w:eastAsia="仿宋_GB2312" w:cs="仿宋_GB2312"/>
                <w:b/>
                <w:sz w:val="24"/>
                <w:lang w:val="zh-CN"/>
              </w:rPr>
            </w:pPr>
            <w:r>
              <w:rPr>
                <w:rFonts w:hint="eastAsia" w:ascii="仿宋_GB2312" w:hAnsi="仿宋_GB2312" w:eastAsia="仿宋_GB2312" w:cs="仿宋_GB2312"/>
                <w:b/>
                <w:sz w:val="24"/>
              </w:rPr>
              <w:t>技术/管理</w:t>
            </w:r>
          </w:p>
        </w:tc>
        <w:tc>
          <w:tcPr>
            <w:tcW w:w="1419" w:type="dxa"/>
            <w:shd w:val="clear" w:color="auto" w:fill="D0CECE"/>
            <w:vAlign w:val="center"/>
          </w:tcPr>
          <w:p>
            <w:pPr>
              <w:spacing w:line="360" w:lineRule="auto"/>
              <w:jc w:val="center"/>
              <w:rPr>
                <w:rFonts w:ascii="仿宋_GB2312" w:hAnsi="仿宋_GB2312" w:eastAsia="仿宋_GB2312" w:cs="仿宋_GB2312"/>
                <w:b/>
                <w:sz w:val="24"/>
                <w:lang w:val="zh-CN"/>
              </w:rPr>
            </w:pPr>
            <w:r>
              <w:rPr>
                <w:rFonts w:hint="eastAsia" w:ascii="仿宋_GB2312" w:hAnsi="仿宋_GB2312" w:eastAsia="仿宋_GB2312" w:cs="仿宋_GB2312"/>
                <w:b/>
                <w:sz w:val="24"/>
              </w:rPr>
              <w:t>安全分类</w:t>
            </w:r>
          </w:p>
        </w:tc>
        <w:tc>
          <w:tcPr>
            <w:tcW w:w="6298" w:type="dxa"/>
            <w:gridSpan w:val="2"/>
            <w:shd w:val="clear" w:color="auto" w:fill="D0CECE"/>
            <w:vAlign w:val="center"/>
          </w:tcPr>
          <w:p>
            <w:pPr>
              <w:spacing w:line="360" w:lineRule="auto"/>
              <w:jc w:val="center"/>
              <w:rPr>
                <w:rFonts w:ascii="仿宋_GB2312" w:hAnsi="仿宋_GB2312" w:eastAsia="仿宋_GB2312" w:cs="仿宋_GB2312"/>
                <w:b/>
                <w:sz w:val="24"/>
                <w:lang w:val="zh-CN"/>
              </w:rPr>
            </w:pPr>
            <w:r>
              <w:rPr>
                <w:rFonts w:hint="eastAsia" w:ascii="仿宋_GB2312" w:hAnsi="仿宋_GB2312" w:eastAsia="仿宋_GB2312" w:cs="仿宋_GB2312"/>
                <w:b/>
                <w:sz w:val="24"/>
                <w:lang w:val="zh-CN"/>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1569" w:type="dxa"/>
            <w:vMerge w:val="restart"/>
            <w:vAlign w:val="center"/>
          </w:tcPr>
          <w:p>
            <w:pPr>
              <w:spacing w:line="360" w:lineRule="auto"/>
              <w:jc w:val="center"/>
              <w:rPr>
                <w:rFonts w:ascii="仿宋_GB2312" w:hAnsi="仿宋_GB2312" w:eastAsia="仿宋_GB2312" w:cs="仿宋_GB2312"/>
                <w:sz w:val="24"/>
                <w:lang w:val="zh-CN"/>
              </w:rPr>
            </w:pPr>
            <w:r>
              <w:rPr>
                <w:rFonts w:hint="eastAsia" w:ascii="仿宋_GB2312" w:hAnsi="仿宋_GB2312" w:eastAsia="仿宋_GB2312" w:cs="仿宋_GB2312"/>
                <w:sz w:val="24"/>
                <w:lang w:val="zh-CN"/>
              </w:rPr>
              <w:t>总体要求</w:t>
            </w:r>
          </w:p>
        </w:tc>
        <w:tc>
          <w:tcPr>
            <w:tcW w:w="1419" w:type="dxa"/>
            <w:vAlign w:val="center"/>
          </w:tcPr>
          <w:p>
            <w:pPr>
              <w:spacing w:line="360" w:lineRule="auto"/>
              <w:jc w:val="center"/>
              <w:rPr>
                <w:rFonts w:ascii="仿宋_GB2312" w:hAnsi="仿宋_GB2312" w:eastAsia="仿宋_GB2312" w:cs="仿宋_GB2312"/>
                <w:sz w:val="24"/>
                <w:lang w:val="zh-CN"/>
              </w:rPr>
            </w:pPr>
            <w:r>
              <w:rPr>
                <w:rFonts w:hint="eastAsia" w:ascii="仿宋_GB2312" w:hAnsi="仿宋_GB2312" w:eastAsia="仿宋_GB2312" w:cs="仿宋_GB2312"/>
                <w:sz w:val="24"/>
                <w:lang w:val="zh-CN"/>
              </w:rPr>
              <w:t>密码算法</w:t>
            </w:r>
          </w:p>
        </w:tc>
        <w:tc>
          <w:tcPr>
            <w:tcW w:w="6298" w:type="dxa"/>
            <w:gridSpan w:val="2"/>
            <w:vAlign w:val="center"/>
          </w:tcPr>
          <w:p>
            <w:pPr>
              <w:spacing w:line="360" w:lineRule="auto"/>
              <w:jc w:val="left"/>
              <w:rPr>
                <w:rFonts w:ascii="仿宋_GB2312" w:hAnsi="仿宋_GB2312" w:eastAsia="仿宋_GB2312" w:cs="仿宋_GB2312"/>
                <w:sz w:val="24"/>
                <w:lang w:val="zh-CN"/>
              </w:rPr>
            </w:pPr>
            <w:r>
              <w:rPr>
                <w:rFonts w:hint="eastAsia" w:ascii="仿宋_GB2312" w:hAnsi="仿宋_GB2312" w:eastAsia="仿宋_GB2312" w:cs="仿宋_GB2312"/>
                <w:sz w:val="24"/>
              </w:rPr>
              <w:t>使用的密码算法应当符合法律、法规的规定和密码相关国家标准、行业标准的有关要求；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1569" w:type="dxa"/>
            <w:vMerge w:val="continue"/>
            <w:vAlign w:val="center"/>
          </w:tcPr>
          <w:p>
            <w:pPr>
              <w:spacing w:line="360" w:lineRule="auto"/>
              <w:jc w:val="center"/>
              <w:rPr>
                <w:rFonts w:ascii="仿宋_GB2312" w:hAnsi="仿宋_GB2312" w:eastAsia="仿宋_GB2312" w:cs="仿宋_GB2312"/>
                <w:sz w:val="24"/>
                <w:lang w:val="zh-CN"/>
              </w:rPr>
            </w:pPr>
          </w:p>
        </w:tc>
        <w:tc>
          <w:tcPr>
            <w:tcW w:w="1419" w:type="dxa"/>
            <w:vAlign w:val="center"/>
          </w:tcPr>
          <w:p>
            <w:pPr>
              <w:spacing w:line="360" w:lineRule="auto"/>
              <w:jc w:val="center"/>
              <w:rPr>
                <w:rFonts w:ascii="仿宋_GB2312" w:hAnsi="仿宋_GB2312" w:eastAsia="仿宋_GB2312" w:cs="仿宋_GB2312"/>
                <w:sz w:val="24"/>
                <w:lang w:val="zh-CN"/>
              </w:rPr>
            </w:pPr>
            <w:r>
              <w:rPr>
                <w:rFonts w:hint="eastAsia" w:ascii="仿宋_GB2312" w:hAnsi="仿宋_GB2312" w:eastAsia="仿宋_GB2312" w:cs="仿宋_GB2312"/>
                <w:sz w:val="24"/>
                <w:lang w:val="zh-CN"/>
              </w:rPr>
              <w:t>密码技术</w:t>
            </w:r>
          </w:p>
        </w:tc>
        <w:tc>
          <w:tcPr>
            <w:tcW w:w="6298" w:type="dxa"/>
            <w:gridSpan w:val="2"/>
            <w:vAlign w:val="center"/>
          </w:tcPr>
          <w:p>
            <w:pPr>
              <w:spacing w:line="360" w:lineRule="auto"/>
              <w:jc w:val="left"/>
              <w:rPr>
                <w:rFonts w:ascii="仿宋_GB2312" w:hAnsi="仿宋_GB2312" w:eastAsia="仿宋_GB2312" w:cs="仿宋_GB2312"/>
                <w:sz w:val="24"/>
                <w:lang w:val="zh-CN"/>
              </w:rPr>
            </w:pPr>
            <w:r>
              <w:rPr>
                <w:rFonts w:hint="eastAsia" w:ascii="仿宋_GB2312" w:hAnsi="仿宋_GB2312" w:eastAsia="仿宋_GB2312" w:cs="仿宋_GB2312"/>
                <w:sz w:val="24"/>
              </w:rPr>
              <w:t>使用的密码技术应遵循密码相关国家标准和行业标准；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1569" w:type="dxa"/>
            <w:vMerge w:val="continue"/>
            <w:vAlign w:val="center"/>
          </w:tcPr>
          <w:p>
            <w:pPr>
              <w:spacing w:line="360" w:lineRule="auto"/>
              <w:jc w:val="center"/>
              <w:rPr>
                <w:rFonts w:ascii="仿宋_GB2312" w:hAnsi="仿宋_GB2312" w:eastAsia="仿宋_GB2312" w:cs="仿宋_GB2312"/>
                <w:sz w:val="24"/>
                <w:lang w:val="zh-CN"/>
              </w:rPr>
            </w:pPr>
          </w:p>
        </w:tc>
        <w:tc>
          <w:tcPr>
            <w:tcW w:w="1419" w:type="dxa"/>
            <w:vAlign w:val="center"/>
          </w:tcPr>
          <w:p>
            <w:pPr>
              <w:spacing w:line="360" w:lineRule="auto"/>
              <w:jc w:val="center"/>
              <w:rPr>
                <w:rFonts w:ascii="仿宋_GB2312" w:hAnsi="仿宋_GB2312" w:eastAsia="仿宋_GB2312" w:cs="仿宋_GB2312"/>
                <w:sz w:val="24"/>
                <w:lang w:val="zh-CN"/>
              </w:rPr>
            </w:pPr>
            <w:r>
              <w:rPr>
                <w:rFonts w:hint="eastAsia" w:ascii="仿宋_GB2312" w:hAnsi="仿宋_GB2312" w:eastAsia="仿宋_GB2312" w:cs="仿宋_GB2312"/>
                <w:sz w:val="24"/>
                <w:lang w:val="zh-CN"/>
              </w:rPr>
              <w:t>密码产品</w:t>
            </w:r>
          </w:p>
        </w:tc>
        <w:tc>
          <w:tcPr>
            <w:tcW w:w="6298" w:type="dxa"/>
            <w:gridSpan w:val="2"/>
            <w:vAlign w:val="center"/>
          </w:tcPr>
          <w:p>
            <w:pPr>
              <w:spacing w:line="360" w:lineRule="auto"/>
              <w:jc w:val="left"/>
              <w:rPr>
                <w:rFonts w:ascii="仿宋_GB2312" w:hAnsi="仿宋_GB2312" w:eastAsia="仿宋_GB2312" w:cs="仿宋_GB2312"/>
                <w:sz w:val="24"/>
                <w:lang w:val="zh-CN"/>
              </w:rPr>
            </w:pPr>
            <w:r>
              <w:rPr>
                <w:rFonts w:hint="eastAsia" w:ascii="仿宋_GB2312" w:hAnsi="仿宋_GB2312" w:eastAsia="仿宋_GB2312" w:cs="仿宋_GB2312"/>
                <w:sz w:val="24"/>
              </w:rPr>
              <w:t>使用的密码产品与密码模块应通过国家密码管理部门核准；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1569" w:type="dxa"/>
            <w:vMerge w:val="continue"/>
            <w:vAlign w:val="center"/>
          </w:tcPr>
          <w:p>
            <w:pPr>
              <w:spacing w:line="360" w:lineRule="auto"/>
              <w:jc w:val="center"/>
              <w:rPr>
                <w:rFonts w:ascii="仿宋_GB2312" w:hAnsi="仿宋_GB2312" w:eastAsia="仿宋_GB2312" w:cs="仿宋_GB2312"/>
                <w:sz w:val="24"/>
                <w:lang w:val="zh-CN"/>
              </w:rPr>
            </w:pPr>
          </w:p>
        </w:tc>
        <w:tc>
          <w:tcPr>
            <w:tcW w:w="1419" w:type="dxa"/>
            <w:vAlign w:val="center"/>
          </w:tcPr>
          <w:p>
            <w:pPr>
              <w:spacing w:line="360" w:lineRule="auto"/>
              <w:jc w:val="center"/>
              <w:rPr>
                <w:rFonts w:ascii="仿宋_GB2312" w:hAnsi="仿宋_GB2312" w:eastAsia="仿宋_GB2312" w:cs="仿宋_GB2312"/>
                <w:sz w:val="24"/>
                <w:lang w:val="zh-CN"/>
              </w:rPr>
            </w:pPr>
            <w:r>
              <w:rPr>
                <w:rFonts w:hint="eastAsia" w:ascii="仿宋_GB2312" w:hAnsi="仿宋_GB2312" w:eastAsia="仿宋_GB2312" w:cs="仿宋_GB2312"/>
                <w:sz w:val="24"/>
                <w:lang w:val="zh-CN"/>
              </w:rPr>
              <w:t>密码服务</w:t>
            </w:r>
          </w:p>
        </w:tc>
        <w:tc>
          <w:tcPr>
            <w:tcW w:w="6298" w:type="dxa"/>
            <w:gridSpan w:val="2"/>
            <w:vAlign w:val="center"/>
          </w:tcPr>
          <w:p>
            <w:pPr>
              <w:spacing w:line="360" w:lineRule="auto"/>
              <w:jc w:val="left"/>
              <w:rPr>
                <w:rFonts w:ascii="仿宋_GB2312" w:hAnsi="仿宋_GB2312" w:eastAsia="仿宋_GB2312" w:cs="仿宋_GB2312"/>
                <w:sz w:val="24"/>
                <w:lang w:val="zh-CN"/>
              </w:rPr>
            </w:pPr>
            <w:r>
              <w:rPr>
                <w:rFonts w:hint="eastAsia" w:ascii="仿宋_GB2312" w:hAnsi="仿宋_GB2312" w:eastAsia="仿宋_GB2312" w:cs="仿宋_GB2312"/>
                <w:sz w:val="24"/>
              </w:rPr>
              <w:t>使用的密码服务应通过国家密码管理部门许可。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restart"/>
            <w:vAlign w:val="center"/>
          </w:tcPr>
          <w:p>
            <w:pPr>
              <w:spacing w:line="360" w:lineRule="auto"/>
              <w:jc w:val="center"/>
              <w:rPr>
                <w:rFonts w:ascii="仿宋_GB2312" w:hAnsi="仿宋_GB2312" w:eastAsia="仿宋_GB2312" w:cs="仿宋_GB2312"/>
                <w:sz w:val="24"/>
                <w:lang w:val="zh-CN"/>
              </w:rPr>
            </w:pPr>
            <w:r>
              <w:rPr>
                <w:rFonts w:hint="eastAsia" w:ascii="仿宋_GB2312" w:hAnsi="仿宋_GB2312" w:eastAsia="仿宋_GB2312" w:cs="仿宋_GB2312"/>
                <w:sz w:val="24"/>
                <w:lang w:val="zh-CN"/>
              </w:rPr>
              <w:t>技术要求</w:t>
            </w:r>
          </w:p>
        </w:tc>
        <w:tc>
          <w:tcPr>
            <w:tcW w:w="1419" w:type="dxa"/>
            <w:vMerge w:val="restart"/>
            <w:vAlign w:val="center"/>
          </w:tcPr>
          <w:p>
            <w:pPr>
              <w:spacing w:line="360" w:lineRule="auto"/>
              <w:jc w:val="center"/>
              <w:rPr>
                <w:rFonts w:ascii="仿宋_GB2312" w:hAnsi="仿宋_GB2312" w:eastAsia="仿宋_GB2312" w:cs="仿宋_GB2312"/>
                <w:sz w:val="24"/>
                <w:lang w:val="zh-CN"/>
              </w:rPr>
            </w:pPr>
            <w:r>
              <w:rPr>
                <w:rFonts w:hint="eastAsia" w:ascii="仿宋_GB2312" w:hAnsi="仿宋_GB2312" w:eastAsia="仿宋_GB2312" w:cs="仿宋_GB2312"/>
                <w:sz w:val="24"/>
                <w:lang w:val="zh-CN"/>
              </w:rPr>
              <w:t>物理和环境安全</w:t>
            </w:r>
          </w:p>
        </w:tc>
        <w:tc>
          <w:tcPr>
            <w:tcW w:w="6298" w:type="dxa"/>
            <w:gridSpan w:val="2"/>
            <w:vAlign w:val="center"/>
          </w:tcPr>
          <w:p>
            <w:pPr>
              <w:spacing w:line="360" w:lineRule="auto"/>
              <w:jc w:val="left"/>
              <w:rPr>
                <w:rFonts w:ascii="仿宋_GB2312" w:hAnsi="仿宋_GB2312" w:eastAsia="仿宋_GB2312" w:cs="仿宋_GB2312"/>
                <w:sz w:val="24"/>
                <w:lang w:val="zh-CN"/>
              </w:rPr>
            </w:pPr>
            <w:r>
              <w:rPr>
                <w:rFonts w:hint="eastAsia" w:ascii="仿宋_GB2312" w:hAnsi="仿宋_GB2312" w:eastAsia="仿宋_GB2312" w:cs="仿宋_GB2312"/>
                <w:sz w:val="24"/>
                <w:lang w:val="zh-CN"/>
              </w:rPr>
              <w:t>a) 应使用密码技术的真实性功能来保护物理访问控制身份鉴别信息，保证重要区域进入人员身份的真实性；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continue"/>
            <w:vAlign w:val="center"/>
          </w:tcPr>
          <w:p>
            <w:pPr>
              <w:spacing w:line="360" w:lineRule="auto"/>
              <w:jc w:val="center"/>
              <w:rPr>
                <w:rFonts w:ascii="仿宋_GB2312" w:hAnsi="仿宋_GB2312" w:eastAsia="仿宋_GB2312" w:cs="仿宋_GB2312"/>
                <w:sz w:val="24"/>
                <w:lang w:val="zh-CN"/>
              </w:rPr>
            </w:pPr>
          </w:p>
        </w:tc>
        <w:tc>
          <w:tcPr>
            <w:tcW w:w="1419" w:type="dxa"/>
            <w:vMerge w:val="continue"/>
            <w:vAlign w:val="center"/>
          </w:tcPr>
          <w:p>
            <w:pPr>
              <w:spacing w:line="360" w:lineRule="auto"/>
              <w:jc w:val="center"/>
              <w:rPr>
                <w:rFonts w:ascii="仿宋_GB2312" w:hAnsi="仿宋_GB2312" w:eastAsia="仿宋_GB2312" w:cs="仿宋_GB2312"/>
                <w:sz w:val="24"/>
                <w:lang w:val="zh-CN"/>
              </w:rPr>
            </w:pPr>
          </w:p>
        </w:tc>
        <w:tc>
          <w:tcPr>
            <w:tcW w:w="6298" w:type="dxa"/>
            <w:gridSpan w:val="2"/>
            <w:vAlign w:val="center"/>
          </w:tcPr>
          <w:p>
            <w:pPr>
              <w:spacing w:line="360" w:lineRule="auto"/>
              <w:jc w:val="left"/>
              <w:rPr>
                <w:rFonts w:ascii="仿宋_GB2312" w:hAnsi="仿宋_GB2312" w:eastAsia="仿宋_GB2312" w:cs="仿宋_GB2312"/>
                <w:sz w:val="24"/>
                <w:lang w:val="zh-CN"/>
              </w:rPr>
            </w:pPr>
            <w:r>
              <w:rPr>
                <w:rFonts w:hint="eastAsia" w:ascii="仿宋_GB2312" w:hAnsi="仿宋_GB2312" w:eastAsia="仿宋_GB2312" w:cs="仿宋_GB2312"/>
                <w:sz w:val="24"/>
                <w:lang w:val="zh-CN"/>
              </w:rPr>
              <w:t>b) 应使用密码技术的完整性功能来保证电子门禁系统进出记录的完整性；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continue"/>
            <w:vAlign w:val="center"/>
          </w:tcPr>
          <w:p>
            <w:pPr>
              <w:spacing w:line="360" w:lineRule="auto"/>
              <w:jc w:val="center"/>
              <w:rPr>
                <w:rFonts w:ascii="仿宋_GB2312" w:hAnsi="仿宋_GB2312" w:eastAsia="仿宋_GB2312" w:cs="仿宋_GB2312"/>
                <w:sz w:val="24"/>
                <w:lang w:val="zh-CN"/>
              </w:rPr>
            </w:pPr>
          </w:p>
        </w:tc>
        <w:tc>
          <w:tcPr>
            <w:tcW w:w="1419" w:type="dxa"/>
            <w:vMerge w:val="continue"/>
            <w:vAlign w:val="center"/>
          </w:tcPr>
          <w:p>
            <w:pPr>
              <w:spacing w:line="360" w:lineRule="auto"/>
              <w:jc w:val="center"/>
              <w:rPr>
                <w:rFonts w:ascii="仿宋_GB2312" w:hAnsi="仿宋_GB2312" w:eastAsia="仿宋_GB2312" w:cs="仿宋_GB2312"/>
                <w:sz w:val="24"/>
                <w:lang w:val="zh-CN"/>
              </w:rPr>
            </w:pPr>
          </w:p>
        </w:tc>
        <w:tc>
          <w:tcPr>
            <w:tcW w:w="6298" w:type="dxa"/>
            <w:gridSpan w:val="2"/>
            <w:vAlign w:val="center"/>
          </w:tcPr>
          <w:p>
            <w:pPr>
              <w:spacing w:line="360" w:lineRule="auto"/>
              <w:jc w:val="left"/>
              <w:rPr>
                <w:rFonts w:ascii="仿宋_GB2312" w:hAnsi="仿宋_GB2312" w:eastAsia="仿宋_GB2312" w:cs="仿宋_GB2312"/>
                <w:sz w:val="24"/>
                <w:lang w:val="zh-CN"/>
              </w:rPr>
            </w:pPr>
            <w:r>
              <w:rPr>
                <w:rFonts w:hint="eastAsia" w:ascii="仿宋_GB2312" w:hAnsi="仿宋_GB2312" w:eastAsia="仿宋_GB2312" w:cs="仿宋_GB2312"/>
                <w:sz w:val="24"/>
                <w:lang w:val="zh-CN"/>
              </w:rPr>
              <w:t>c) 应使用密码技术的完整性功能来保证视频监控音像记录的完整性；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continue"/>
            <w:vAlign w:val="center"/>
          </w:tcPr>
          <w:p>
            <w:pPr>
              <w:spacing w:line="360" w:lineRule="auto"/>
              <w:jc w:val="center"/>
              <w:rPr>
                <w:rFonts w:ascii="仿宋_GB2312" w:hAnsi="仿宋_GB2312" w:eastAsia="仿宋_GB2312" w:cs="仿宋_GB2312"/>
                <w:sz w:val="24"/>
                <w:lang w:val="zh-CN"/>
              </w:rPr>
            </w:pPr>
          </w:p>
        </w:tc>
        <w:tc>
          <w:tcPr>
            <w:tcW w:w="1419" w:type="dxa"/>
            <w:vMerge w:val="continue"/>
            <w:vAlign w:val="center"/>
          </w:tcPr>
          <w:p>
            <w:pPr>
              <w:spacing w:line="360" w:lineRule="auto"/>
              <w:jc w:val="center"/>
              <w:rPr>
                <w:rFonts w:ascii="仿宋_GB2312" w:hAnsi="仿宋_GB2312" w:eastAsia="仿宋_GB2312" w:cs="仿宋_GB2312"/>
                <w:sz w:val="24"/>
                <w:lang w:val="zh-CN"/>
              </w:rPr>
            </w:pPr>
          </w:p>
        </w:tc>
        <w:tc>
          <w:tcPr>
            <w:tcW w:w="6298" w:type="dxa"/>
            <w:gridSpan w:val="2"/>
            <w:vAlign w:val="center"/>
          </w:tcPr>
          <w:p>
            <w:pPr>
              <w:spacing w:line="360" w:lineRule="auto"/>
              <w:jc w:val="left"/>
              <w:rPr>
                <w:rFonts w:ascii="仿宋_GB2312" w:hAnsi="仿宋_GB2312" w:eastAsia="仿宋_GB2312" w:cs="仿宋_GB2312"/>
                <w:sz w:val="24"/>
                <w:lang w:val="zh-CN"/>
              </w:rPr>
            </w:pPr>
            <w:r>
              <w:rPr>
                <w:rFonts w:hint="eastAsia" w:ascii="仿宋_GB2312" w:hAnsi="仿宋_GB2312" w:eastAsia="仿宋_GB2312" w:cs="仿宋_GB2312"/>
                <w:sz w:val="24"/>
                <w:lang w:val="zh-CN"/>
              </w:rPr>
              <w:t>d) 宜采用符合GM/T 0028的三级及以上密码模块或通过国家密码管理部门核准的硬件密码产品实现密码运算和密钥管理。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continue"/>
            <w:vAlign w:val="center"/>
          </w:tcPr>
          <w:p>
            <w:pPr>
              <w:spacing w:line="360" w:lineRule="auto"/>
              <w:jc w:val="center"/>
              <w:rPr>
                <w:rFonts w:ascii="仿宋_GB2312" w:hAnsi="仿宋_GB2312" w:eastAsia="仿宋_GB2312" w:cs="仿宋_GB2312"/>
                <w:sz w:val="24"/>
                <w:lang w:val="zh-CN"/>
              </w:rPr>
            </w:pPr>
          </w:p>
        </w:tc>
        <w:tc>
          <w:tcPr>
            <w:tcW w:w="1419" w:type="dxa"/>
            <w:vMerge w:val="restart"/>
            <w:vAlign w:val="center"/>
          </w:tcPr>
          <w:p>
            <w:pPr>
              <w:spacing w:line="360" w:lineRule="auto"/>
              <w:jc w:val="center"/>
              <w:rPr>
                <w:rFonts w:ascii="仿宋_GB2312" w:hAnsi="仿宋_GB2312" w:eastAsia="仿宋_GB2312" w:cs="仿宋_GB2312"/>
                <w:sz w:val="24"/>
                <w:lang w:val="zh-CN"/>
              </w:rPr>
            </w:pPr>
            <w:r>
              <w:rPr>
                <w:rFonts w:hint="eastAsia" w:ascii="仿宋_GB2312" w:hAnsi="仿宋_GB2312" w:eastAsia="仿宋_GB2312" w:cs="仿宋_GB2312"/>
                <w:sz w:val="24"/>
                <w:lang w:val="zh-CN"/>
              </w:rPr>
              <w:t>网络和通信安全</w:t>
            </w:r>
          </w:p>
        </w:tc>
        <w:tc>
          <w:tcPr>
            <w:tcW w:w="6298" w:type="dxa"/>
            <w:gridSpan w:val="2"/>
            <w:vAlign w:val="center"/>
          </w:tcPr>
          <w:p>
            <w:pPr>
              <w:spacing w:line="360" w:lineRule="auto"/>
              <w:jc w:val="left"/>
              <w:rPr>
                <w:rFonts w:ascii="仿宋_GB2312" w:hAnsi="仿宋_GB2312" w:eastAsia="仿宋_GB2312" w:cs="仿宋_GB2312"/>
                <w:sz w:val="24"/>
                <w:lang w:val="zh-CN"/>
              </w:rPr>
            </w:pPr>
            <w:r>
              <w:rPr>
                <w:rFonts w:hint="eastAsia" w:ascii="仿宋_GB2312" w:hAnsi="仿宋_GB2312" w:eastAsia="仿宋_GB2312" w:cs="仿宋_GB2312"/>
                <w:sz w:val="24"/>
              </w:rPr>
              <w:t xml:space="preserve">a) 应在通信前基于密码技术对通信双方进行身份认证，使用密码技术的机密性和真实性功能来实现防截获、防假冒和防重用，保证传输过程中鉴别信息的机密性和网络设备实体身份的真实性；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continue"/>
            <w:vAlign w:val="center"/>
          </w:tcPr>
          <w:p>
            <w:pPr>
              <w:spacing w:line="360" w:lineRule="auto"/>
              <w:jc w:val="center"/>
              <w:rPr>
                <w:rFonts w:ascii="仿宋_GB2312" w:hAnsi="仿宋_GB2312" w:eastAsia="仿宋_GB2312" w:cs="仿宋_GB2312"/>
                <w:sz w:val="24"/>
                <w:lang w:val="zh-CN"/>
              </w:rPr>
            </w:pPr>
          </w:p>
        </w:tc>
        <w:tc>
          <w:tcPr>
            <w:tcW w:w="1419" w:type="dxa"/>
            <w:vMerge w:val="continue"/>
            <w:vAlign w:val="center"/>
          </w:tcPr>
          <w:p>
            <w:pPr>
              <w:spacing w:line="360" w:lineRule="auto"/>
              <w:jc w:val="center"/>
              <w:rPr>
                <w:rFonts w:ascii="仿宋_GB2312" w:hAnsi="仿宋_GB2312" w:eastAsia="仿宋_GB2312" w:cs="仿宋_GB2312"/>
                <w:sz w:val="24"/>
                <w:lang w:val="zh-CN"/>
              </w:rPr>
            </w:pPr>
          </w:p>
        </w:tc>
        <w:tc>
          <w:tcPr>
            <w:tcW w:w="6298" w:type="dxa"/>
            <w:gridSpan w:val="2"/>
            <w:vAlign w:val="center"/>
          </w:tcPr>
          <w:p>
            <w:pPr>
              <w:spacing w:line="360" w:lineRule="auto"/>
              <w:jc w:val="left"/>
              <w:rPr>
                <w:rFonts w:ascii="仿宋_GB2312" w:hAnsi="仿宋_GB2312" w:eastAsia="仿宋_GB2312" w:cs="仿宋_GB2312"/>
                <w:sz w:val="24"/>
                <w:lang w:val="zh-CN"/>
              </w:rPr>
            </w:pPr>
            <w:r>
              <w:rPr>
                <w:rFonts w:hint="eastAsia" w:ascii="仿宋_GB2312" w:hAnsi="仿宋_GB2312" w:eastAsia="仿宋_GB2312" w:cs="仿宋_GB2312"/>
                <w:sz w:val="24"/>
              </w:rPr>
              <w:t>b) 应使用密码技术的完整性功能来保证网络边界和系统资源访问控制信息的完整性；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continue"/>
            <w:vAlign w:val="center"/>
          </w:tcPr>
          <w:p>
            <w:pPr>
              <w:spacing w:line="360" w:lineRule="auto"/>
              <w:jc w:val="center"/>
              <w:rPr>
                <w:rFonts w:ascii="仿宋_GB2312" w:hAnsi="仿宋_GB2312" w:eastAsia="仿宋_GB2312" w:cs="仿宋_GB2312"/>
                <w:sz w:val="24"/>
                <w:lang w:val="zh-CN"/>
              </w:rPr>
            </w:pPr>
          </w:p>
        </w:tc>
        <w:tc>
          <w:tcPr>
            <w:tcW w:w="1419" w:type="dxa"/>
            <w:vMerge w:val="continue"/>
            <w:vAlign w:val="center"/>
          </w:tcPr>
          <w:p>
            <w:pPr>
              <w:spacing w:line="360" w:lineRule="auto"/>
              <w:jc w:val="center"/>
              <w:rPr>
                <w:rFonts w:ascii="仿宋_GB2312" w:hAnsi="仿宋_GB2312" w:eastAsia="仿宋_GB2312" w:cs="仿宋_GB2312"/>
                <w:sz w:val="24"/>
                <w:lang w:val="zh-CN"/>
              </w:rPr>
            </w:pPr>
          </w:p>
        </w:tc>
        <w:tc>
          <w:tcPr>
            <w:tcW w:w="6298" w:type="dxa"/>
            <w:gridSpan w:val="2"/>
            <w:vAlign w:val="center"/>
          </w:tcPr>
          <w:p>
            <w:pPr>
              <w:spacing w:line="360" w:lineRule="auto"/>
              <w:jc w:val="left"/>
              <w:rPr>
                <w:rFonts w:ascii="仿宋_GB2312" w:hAnsi="仿宋_GB2312" w:eastAsia="仿宋_GB2312" w:cs="仿宋_GB2312"/>
                <w:sz w:val="24"/>
                <w:lang w:val="zh-CN"/>
              </w:rPr>
            </w:pPr>
            <w:r>
              <w:rPr>
                <w:rFonts w:hint="eastAsia" w:ascii="仿宋_GB2312" w:hAnsi="仿宋_GB2312" w:eastAsia="仿宋_GB2312" w:cs="仿宋_GB2312"/>
                <w:sz w:val="24"/>
              </w:rPr>
              <w:t>c) 应采用密码技术保证通信过程中数据的完整性；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continue"/>
            <w:vAlign w:val="center"/>
          </w:tcPr>
          <w:p>
            <w:pPr>
              <w:spacing w:line="360" w:lineRule="auto"/>
              <w:jc w:val="center"/>
              <w:rPr>
                <w:rFonts w:ascii="仿宋_GB2312" w:hAnsi="仿宋_GB2312" w:eastAsia="仿宋_GB2312" w:cs="仿宋_GB2312"/>
                <w:sz w:val="24"/>
                <w:lang w:val="zh-CN"/>
              </w:rPr>
            </w:pPr>
          </w:p>
        </w:tc>
        <w:tc>
          <w:tcPr>
            <w:tcW w:w="1419" w:type="dxa"/>
            <w:vMerge w:val="continue"/>
            <w:vAlign w:val="center"/>
          </w:tcPr>
          <w:p>
            <w:pPr>
              <w:spacing w:line="360" w:lineRule="auto"/>
              <w:jc w:val="center"/>
              <w:rPr>
                <w:rFonts w:ascii="仿宋_GB2312" w:hAnsi="仿宋_GB2312" w:eastAsia="仿宋_GB2312" w:cs="仿宋_GB2312"/>
                <w:sz w:val="24"/>
                <w:lang w:val="zh-CN"/>
              </w:rPr>
            </w:pPr>
          </w:p>
        </w:tc>
        <w:tc>
          <w:tcPr>
            <w:tcW w:w="6298" w:type="dxa"/>
            <w:gridSpan w:val="2"/>
            <w:vAlign w:val="center"/>
          </w:tcPr>
          <w:p>
            <w:pPr>
              <w:spacing w:line="360" w:lineRule="auto"/>
              <w:jc w:val="left"/>
              <w:rPr>
                <w:rFonts w:ascii="仿宋_GB2312" w:hAnsi="仿宋_GB2312" w:eastAsia="仿宋_GB2312" w:cs="仿宋_GB2312"/>
                <w:sz w:val="24"/>
                <w:lang w:val="zh-CN"/>
              </w:rPr>
            </w:pPr>
            <w:r>
              <w:rPr>
                <w:rFonts w:hint="eastAsia" w:ascii="仿宋_GB2312" w:hAnsi="仿宋_GB2312" w:eastAsia="仿宋_GB2312" w:cs="仿宋_GB2312"/>
                <w:sz w:val="24"/>
              </w:rPr>
              <w:t>d) 应采用密码技术保证通信过程中敏感信息数据字段或整个报文的机密性；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continue"/>
            <w:vAlign w:val="center"/>
          </w:tcPr>
          <w:p>
            <w:pPr>
              <w:spacing w:line="360" w:lineRule="auto"/>
              <w:jc w:val="center"/>
              <w:rPr>
                <w:rFonts w:ascii="仿宋_GB2312" w:hAnsi="仿宋_GB2312" w:eastAsia="仿宋_GB2312" w:cs="仿宋_GB2312"/>
                <w:sz w:val="24"/>
                <w:lang w:val="zh-CN"/>
              </w:rPr>
            </w:pPr>
          </w:p>
        </w:tc>
        <w:tc>
          <w:tcPr>
            <w:tcW w:w="1419" w:type="dxa"/>
            <w:vMerge w:val="continue"/>
            <w:vAlign w:val="center"/>
          </w:tcPr>
          <w:p>
            <w:pPr>
              <w:spacing w:line="360" w:lineRule="auto"/>
              <w:jc w:val="center"/>
              <w:rPr>
                <w:rFonts w:ascii="仿宋_GB2312" w:hAnsi="仿宋_GB2312" w:eastAsia="仿宋_GB2312" w:cs="仿宋_GB2312"/>
                <w:sz w:val="24"/>
                <w:lang w:val="zh-CN"/>
              </w:rPr>
            </w:pPr>
          </w:p>
        </w:tc>
        <w:tc>
          <w:tcPr>
            <w:tcW w:w="6298" w:type="dxa"/>
            <w:gridSpan w:val="2"/>
            <w:vAlign w:val="center"/>
          </w:tcPr>
          <w:p>
            <w:pPr>
              <w:spacing w:line="360" w:lineRule="auto"/>
              <w:jc w:val="left"/>
              <w:rPr>
                <w:rFonts w:ascii="仿宋_GB2312" w:hAnsi="仿宋_GB2312" w:eastAsia="仿宋_GB2312" w:cs="仿宋_GB2312"/>
                <w:sz w:val="24"/>
                <w:lang w:val="zh-CN"/>
              </w:rPr>
            </w:pPr>
            <w:r>
              <w:rPr>
                <w:rFonts w:hint="eastAsia" w:ascii="仿宋_GB2312" w:hAnsi="仿宋_GB2312" w:eastAsia="仿宋_GB2312" w:cs="仿宋_GB2312"/>
                <w:sz w:val="24"/>
              </w:rPr>
              <w:t>e) 应采用密码技术建立一条安全的信息传输通道，对网络中的安全设备或安全组件进行集中管理；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continue"/>
            <w:vAlign w:val="center"/>
          </w:tcPr>
          <w:p>
            <w:pPr>
              <w:spacing w:line="360" w:lineRule="auto"/>
              <w:jc w:val="center"/>
              <w:rPr>
                <w:rFonts w:ascii="仿宋_GB2312" w:hAnsi="仿宋_GB2312" w:eastAsia="仿宋_GB2312" w:cs="仿宋_GB2312"/>
                <w:sz w:val="24"/>
                <w:lang w:val="zh-CN"/>
              </w:rPr>
            </w:pPr>
          </w:p>
        </w:tc>
        <w:tc>
          <w:tcPr>
            <w:tcW w:w="1419" w:type="dxa"/>
            <w:vMerge w:val="continue"/>
            <w:vAlign w:val="center"/>
          </w:tcPr>
          <w:p>
            <w:pPr>
              <w:spacing w:line="360" w:lineRule="auto"/>
              <w:jc w:val="center"/>
              <w:rPr>
                <w:rFonts w:ascii="仿宋_GB2312" w:hAnsi="仿宋_GB2312" w:eastAsia="仿宋_GB2312" w:cs="仿宋_GB2312"/>
                <w:sz w:val="24"/>
                <w:lang w:val="zh-CN"/>
              </w:rPr>
            </w:pPr>
          </w:p>
        </w:tc>
        <w:tc>
          <w:tcPr>
            <w:tcW w:w="6298" w:type="dxa"/>
            <w:gridSpan w:val="2"/>
            <w:vAlign w:val="center"/>
          </w:tcPr>
          <w:p>
            <w:pPr>
              <w:spacing w:line="360" w:lineRule="auto"/>
              <w:jc w:val="left"/>
              <w:rPr>
                <w:rFonts w:ascii="仿宋_GB2312" w:hAnsi="仿宋_GB2312" w:eastAsia="仿宋_GB2312" w:cs="仿宋_GB2312"/>
                <w:sz w:val="24"/>
                <w:lang w:val="zh-CN"/>
              </w:rPr>
            </w:pPr>
            <w:r>
              <w:rPr>
                <w:rFonts w:hint="eastAsia" w:ascii="仿宋_GB2312" w:hAnsi="仿宋_GB2312" w:eastAsia="仿宋_GB2312" w:cs="仿宋_GB2312"/>
                <w:sz w:val="24"/>
              </w:rPr>
              <w:t>f) 宜采用符合GM/T 0028的三级及以上密码模块或通过国家密码管理部门核准的硬件密码产品实现密码运算和密钥管理。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continue"/>
            <w:vAlign w:val="center"/>
          </w:tcPr>
          <w:p>
            <w:pPr>
              <w:spacing w:line="360" w:lineRule="auto"/>
              <w:jc w:val="center"/>
              <w:rPr>
                <w:rFonts w:ascii="仿宋_GB2312" w:hAnsi="仿宋_GB2312" w:eastAsia="仿宋_GB2312" w:cs="仿宋_GB2312"/>
                <w:sz w:val="24"/>
                <w:lang w:val="zh-CN"/>
              </w:rPr>
            </w:pPr>
          </w:p>
        </w:tc>
        <w:tc>
          <w:tcPr>
            <w:tcW w:w="1419" w:type="dxa"/>
            <w:vMerge w:val="restart"/>
            <w:vAlign w:val="center"/>
          </w:tcPr>
          <w:p>
            <w:pPr>
              <w:spacing w:line="360" w:lineRule="auto"/>
              <w:jc w:val="center"/>
              <w:rPr>
                <w:rFonts w:ascii="仿宋_GB2312" w:hAnsi="仿宋_GB2312" w:eastAsia="仿宋_GB2312" w:cs="仿宋_GB2312"/>
                <w:sz w:val="24"/>
                <w:lang w:val="zh-CN"/>
              </w:rPr>
            </w:pPr>
            <w:r>
              <w:rPr>
                <w:rFonts w:hint="eastAsia" w:ascii="仿宋_GB2312" w:hAnsi="仿宋_GB2312" w:eastAsia="仿宋_GB2312" w:cs="仿宋_GB2312"/>
                <w:sz w:val="24"/>
                <w:lang w:val="zh-CN"/>
              </w:rPr>
              <w:t>设备和计算安全</w:t>
            </w:r>
          </w:p>
        </w:tc>
        <w:tc>
          <w:tcPr>
            <w:tcW w:w="6298" w:type="dxa"/>
            <w:gridSpan w:val="2"/>
            <w:vAlign w:val="center"/>
          </w:tcPr>
          <w:p>
            <w:pPr>
              <w:pStyle w:val="7"/>
              <w:adjustRightInd/>
              <w:spacing w:line="360" w:lineRule="auto"/>
              <w:rPr>
                <w:rFonts w:ascii="仿宋_GB2312" w:hAnsi="仿宋_GB2312" w:eastAsia="仿宋_GB2312" w:cs="仿宋_GB2312"/>
              </w:rPr>
            </w:pPr>
            <w:r>
              <w:rPr>
                <w:rFonts w:hint="eastAsia" w:ascii="仿宋_GB2312" w:hAnsi="仿宋_GB2312" w:eastAsia="仿宋_GB2312" w:cs="仿宋_GB2312"/>
              </w:rPr>
              <w:t>a) 应使用密码技术对登录的用户进行身份标识和鉴别，身份标识具有唯一性，身份鉴别信息具有复杂度要求并定期更换；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continue"/>
            <w:vAlign w:val="center"/>
          </w:tcPr>
          <w:p>
            <w:pPr>
              <w:spacing w:line="360" w:lineRule="auto"/>
              <w:jc w:val="center"/>
              <w:rPr>
                <w:rFonts w:ascii="仿宋_GB2312" w:hAnsi="仿宋_GB2312" w:eastAsia="仿宋_GB2312" w:cs="仿宋_GB2312"/>
                <w:sz w:val="24"/>
                <w:lang w:val="zh-CN"/>
              </w:rPr>
            </w:pPr>
          </w:p>
        </w:tc>
        <w:tc>
          <w:tcPr>
            <w:tcW w:w="1419" w:type="dxa"/>
            <w:vMerge w:val="continue"/>
            <w:vAlign w:val="center"/>
          </w:tcPr>
          <w:p>
            <w:pPr>
              <w:spacing w:line="360" w:lineRule="auto"/>
              <w:jc w:val="center"/>
              <w:rPr>
                <w:rFonts w:ascii="仿宋_GB2312" w:hAnsi="仿宋_GB2312" w:eastAsia="仿宋_GB2312" w:cs="仿宋_GB2312"/>
                <w:sz w:val="24"/>
                <w:lang w:val="zh-CN"/>
              </w:rPr>
            </w:pPr>
          </w:p>
        </w:tc>
        <w:tc>
          <w:tcPr>
            <w:tcW w:w="6298" w:type="dxa"/>
            <w:gridSpan w:val="2"/>
            <w:vAlign w:val="center"/>
          </w:tcPr>
          <w:p>
            <w:pPr>
              <w:pStyle w:val="7"/>
              <w:adjustRightInd/>
              <w:spacing w:line="360" w:lineRule="auto"/>
              <w:rPr>
                <w:rFonts w:ascii="仿宋_GB2312" w:hAnsi="仿宋_GB2312" w:eastAsia="仿宋_GB2312" w:cs="仿宋_GB2312"/>
              </w:rPr>
            </w:pPr>
            <w:r>
              <w:rPr>
                <w:rFonts w:hint="eastAsia" w:ascii="仿宋_GB2312" w:hAnsi="仿宋_GB2312" w:eastAsia="仿宋_GB2312" w:cs="仿宋_GB2312"/>
              </w:rPr>
              <w:t xml:space="preserve">b) 在远程管理时，应使用密码技术的机密性功能来实现鉴别信息的防窃听；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continue"/>
            <w:vAlign w:val="center"/>
          </w:tcPr>
          <w:p>
            <w:pPr>
              <w:spacing w:line="360" w:lineRule="auto"/>
              <w:jc w:val="center"/>
              <w:rPr>
                <w:rFonts w:ascii="仿宋_GB2312" w:hAnsi="仿宋_GB2312" w:eastAsia="仿宋_GB2312" w:cs="仿宋_GB2312"/>
                <w:sz w:val="24"/>
                <w:lang w:val="zh-CN"/>
              </w:rPr>
            </w:pPr>
          </w:p>
        </w:tc>
        <w:tc>
          <w:tcPr>
            <w:tcW w:w="1419" w:type="dxa"/>
            <w:vMerge w:val="continue"/>
            <w:vAlign w:val="center"/>
          </w:tcPr>
          <w:p>
            <w:pPr>
              <w:spacing w:line="360" w:lineRule="auto"/>
              <w:jc w:val="center"/>
              <w:rPr>
                <w:rFonts w:ascii="仿宋_GB2312" w:hAnsi="仿宋_GB2312" w:eastAsia="仿宋_GB2312" w:cs="仿宋_GB2312"/>
                <w:sz w:val="24"/>
                <w:lang w:val="zh-CN"/>
              </w:rPr>
            </w:pPr>
          </w:p>
        </w:tc>
        <w:tc>
          <w:tcPr>
            <w:tcW w:w="6298" w:type="dxa"/>
            <w:gridSpan w:val="2"/>
            <w:vAlign w:val="center"/>
          </w:tcPr>
          <w:p>
            <w:pPr>
              <w:pStyle w:val="7"/>
              <w:adjustRightInd/>
              <w:spacing w:line="360" w:lineRule="auto"/>
              <w:rPr>
                <w:rFonts w:ascii="仿宋_GB2312" w:hAnsi="仿宋_GB2312" w:eastAsia="仿宋_GB2312" w:cs="仿宋_GB2312"/>
              </w:rPr>
            </w:pPr>
            <w:r>
              <w:rPr>
                <w:rFonts w:hint="eastAsia" w:ascii="仿宋_GB2312" w:hAnsi="仿宋_GB2312" w:eastAsia="仿宋_GB2312" w:cs="仿宋_GB2312"/>
              </w:rPr>
              <w:t>c) 应使用密码技术的完整性功能来保证系统资源访问控制信息的完整性；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continue"/>
            <w:vAlign w:val="center"/>
          </w:tcPr>
          <w:p>
            <w:pPr>
              <w:spacing w:line="360" w:lineRule="auto"/>
              <w:jc w:val="center"/>
              <w:rPr>
                <w:rFonts w:ascii="仿宋_GB2312" w:hAnsi="仿宋_GB2312" w:eastAsia="仿宋_GB2312" w:cs="仿宋_GB2312"/>
                <w:sz w:val="24"/>
                <w:lang w:val="zh-CN"/>
              </w:rPr>
            </w:pPr>
          </w:p>
        </w:tc>
        <w:tc>
          <w:tcPr>
            <w:tcW w:w="1419" w:type="dxa"/>
            <w:vMerge w:val="continue"/>
            <w:vAlign w:val="center"/>
          </w:tcPr>
          <w:p>
            <w:pPr>
              <w:spacing w:line="360" w:lineRule="auto"/>
              <w:jc w:val="center"/>
              <w:rPr>
                <w:rFonts w:ascii="仿宋_GB2312" w:hAnsi="仿宋_GB2312" w:eastAsia="仿宋_GB2312" w:cs="仿宋_GB2312"/>
                <w:sz w:val="24"/>
                <w:lang w:val="zh-CN"/>
              </w:rPr>
            </w:pPr>
          </w:p>
        </w:tc>
        <w:tc>
          <w:tcPr>
            <w:tcW w:w="6298" w:type="dxa"/>
            <w:gridSpan w:val="2"/>
            <w:vAlign w:val="center"/>
          </w:tcPr>
          <w:p>
            <w:pPr>
              <w:pStyle w:val="7"/>
              <w:adjustRightInd/>
              <w:spacing w:line="360" w:lineRule="auto"/>
              <w:rPr>
                <w:rFonts w:ascii="仿宋_GB2312" w:hAnsi="仿宋_GB2312" w:eastAsia="仿宋_GB2312" w:cs="仿宋_GB2312"/>
              </w:rPr>
            </w:pPr>
            <w:r>
              <w:rPr>
                <w:rFonts w:hint="eastAsia" w:ascii="仿宋_GB2312" w:hAnsi="仿宋_GB2312" w:eastAsia="仿宋_GB2312" w:cs="仿宋_GB2312"/>
              </w:rPr>
              <w:t xml:space="preserve">d) 应使用密码技术的完整性功能来保证重要信息资源敏感标记的完整性；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continue"/>
            <w:vAlign w:val="center"/>
          </w:tcPr>
          <w:p>
            <w:pPr>
              <w:spacing w:line="360" w:lineRule="auto"/>
              <w:jc w:val="center"/>
              <w:rPr>
                <w:rFonts w:ascii="仿宋_GB2312" w:hAnsi="仿宋_GB2312" w:eastAsia="仿宋_GB2312" w:cs="仿宋_GB2312"/>
                <w:sz w:val="24"/>
                <w:lang w:val="zh-CN"/>
              </w:rPr>
            </w:pPr>
          </w:p>
        </w:tc>
        <w:tc>
          <w:tcPr>
            <w:tcW w:w="1419" w:type="dxa"/>
            <w:vMerge w:val="continue"/>
            <w:vAlign w:val="center"/>
          </w:tcPr>
          <w:p>
            <w:pPr>
              <w:spacing w:line="360" w:lineRule="auto"/>
              <w:jc w:val="center"/>
              <w:rPr>
                <w:rFonts w:ascii="仿宋_GB2312" w:hAnsi="仿宋_GB2312" w:eastAsia="仿宋_GB2312" w:cs="仿宋_GB2312"/>
                <w:sz w:val="24"/>
                <w:lang w:val="zh-CN"/>
              </w:rPr>
            </w:pPr>
          </w:p>
        </w:tc>
        <w:tc>
          <w:tcPr>
            <w:tcW w:w="6298" w:type="dxa"/>
            <w:gridSpan w:val="2"/>
            <w:vAlign w:val="center"/>
          </w:tcPr>
          <w:p>
            <w:pPr>
              <w:pStyle w:val="7"/>
              <w:adjustRightInd/>
              <w:spacing w:line="360" w:lineRule="auto"/>
              <w:rPr>
                <w:rFonts w:ascii="仿宋_GB2312" w:hAnsi="仿宋_GB2312" w:eastAsia="仿宋_GB2312" w:cs="仿宋_GB2312"/>
              </w:rPr>
            </w:pPr>
            <w:r>
              <w:rPr>
                <w:rFonts w:hint="eastAsia" w:ascii="仿宋_GB2312" w:hAnsi="仿宋_GB2312" w:eastAsia="仿宋_GB2312" w:cs="仿宋_GB2312"/>
              </w:rPr>
              <w:t>e) 应采用可信计算技术建立从系统到应用的信任链，实现系统运行过程中重要程序或文件完整性保护；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continue"/>
            <w:vAlign w:val="center"/>
          </w:tcPr>
          <w:p>
            <w:pPr>
              <w:spacing w:line="360" w:lineRule="auto"/>
              <w:jc w:val="center"/>
              <w:rPr>
                <w:rFonts w:ascii="仿宋_GB2312" w:hAnsi="仿宋_GB2312" w:eastAsia="仿宋_GB2312" w:cs="仿宋_GB2312"/>
                <w:sz w:val="24"/>
                <w:lang w:val="zh-CN"/>
              </w:rPr>
            </w:pPr>
          </w:p>
        </w:tc>
        <w:tc>
          <w:tcPr>
            <w:tcW w:w="1419" w:type="dxa"/>
            <w:vMerge w:val="continue"/>
            <w:vAlign w:val="center"/>
          </w:tcPr>
          <w:p>
            <w:pPr>
              <w:spacing w:line="360" w:lineRule="auto"/>
              <w:jc w:val="center"/>
              <w:rPr>
                <w:rFonts w:ascii="仿宋_GB2312" w:hAnsi="仿宋_GB2312" w:eastAsia="仿宋_GB2312" w:cs="仿宋_GB2312"/>
                <w:sz w:val="24"/>
                <w:lang w:val="zh-CN"/>
              </w:rPr>
            </w:pPr>
          </w:p>
        </w:tc>
        <w:tc>
          <w:tcPr>
            <w:tcW w:w="6298" w:type="dxa"/>
            <w:gridSpan w:val="2"/>
            <w:vAlign w:val="center"/>
          </w:tcPr>
          <w:p>
            <w:pPr>
              <w:pStyle w:val="7"/>
              <w:adjustRightInd/>
              <w:spacing w:line="360" w:lineRule="auto"/>
              <w:rPr>
                <w:rFonts w:ascii="仿宋_GB2312" w:hAnsi="仿宋_GB2312" w:eastAsia="仿宋_GB2312" w:cs="仿宋_GB2312"/>
              </w:rPr>
            </w:pPr>
            <w:r>
              <w:rPr>
                <w:rFonts w:hint="eastAsia" w:ascii="仿宋_GB2312" w:hAnsi="仿宋_GB2312" w:eastAsia="仿宋_GB2312" w:cs="仿宋_GB2312"/>
              </w:rPr>
              <w:t>f) 应使用密码技术的完整性功能来对日志记录进行完整性保护；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continue"/>
            <w:vAlign w:val="center"/>
          </w:tcPr>
          <w:p>
            <w:pPr>
              <w:spacing w:line="360" w:lineRule="auto"/>
              <w:jc w:val="center"/>
              <w:rPr>
                <w:rFonts w:ascii="仿宋_GB2312" w:hAnsi="仿宋_GB2312" w:eastAsia="仿宋_GB2312" w:cs="仿宋_GB2312"/>
                <w:sz w:val="24"/>
                <w:lang w:val="zh-CN"/>
              </w:rPr>
            </w:pPr>
          </w:p>
        </w:tc>
        <w:tc>
          <w:tcPr>
            <w:tcW w:w="1419" w:type="dxa"/>
            <w:vMerge w:val="continue"/>
            <w:vAlign w:val="center"/>
          </w:tcPr>
          <w:p>
            <w:pPr>
              <w:spacing w:line="360" w:lineRule="auto"/>
              <w:jc w:val="center"/>
              <w:rPr>
                <w:rFonts w:ascii="仿宋_GB2312" w:hAnsi="仿宋_GB2312" w:eastAsia="仿宋_GB2312" w:cs="仿宋_GB2312"/>
                <w:sz w:val="24"/>
                <w:lang w:val="zh-CN"/>
              </w:rPr>
            </w:pPr>
          </w:p>
        </w:tc>
        <w:tc>
          <w:tcPr>
            <w:tcW w:w="6298" w:type="dxa"/>
            <w:gridSpan w:val="2"/>
            <w:vAlign w:val="center"/>
          </w:tcPr>
          <w:p>
            <w:pPr>
              <w:pStyle w:val="7"/>
              <w:adjustRightInd/>
              <w:spacing w:line="360" w:lineRule="auto"/>
              <w:rPr>
                <w:rFonts w:ascii="仿宋_GB2312" w:hAnsi="仿宋_GB2312" w:eastAsia="仿宋_GB2312" w:cs="仿宋_GB2312"/>
              </w:rPr>
            </w:pPr>
            <w:r>
              <w:rPr>
                <w:rFonts w:hint="eastAsia" w:ascii="仿宋_GB2312" w:hAnsi="仿宋_GB2312" w:eastAsia="仿宋_GB2312" w:cs="仿宋_GB2312"/>
              </w:rPr>
              <w:t>g) 宜采用符合GM/T 0028的三级及以上密码模块或通过国家密码管理部门核准的硬件密码产品实现密码运算和密钥管理。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continue"/>
            <w:vAlign w:val="center"/>
          </w:tcPr>
          <w:p>
            <w:pPr>
              <w:spacing w:line="360" w:lineRule="auto"/>
              <w:jc w:val="center"/>
              <w:rPr>
                <w:rFonts w:ascii="仿宋_GB2312" w:hAnsi="仿宋_GB2312" w:eastAsia="仿宋_GB2312" w:cs="仿宋_GB2312"/>
                <w:sz w:val="24"/>
                <w:lang w:val="zh-CN"/>
              </w:rPr>
            </w:pPr>
          </w:p>
        </w:tc>
        <w:tc>
          <w:tcPr>
            <w:tcW w:w="1419" w:type="dxa"/>
            <w:vMerge w:val="restart"/>
            <w:vAlign w:val="center"/>
          </w:tcPr>
          <w:p>
            <w:pPr>
              <w:spacing w:line="360" w:lineRule="auto"/>
              <w:jc w:val="center"/>
              <w:rPr>
                <w:rFonts w:ascii="仿宋_GB2312" w:hAnsi="仿宋_GB2312" w:eastAsia="仿宋_GB2312" w:cs="仿宋_GB2312"/>
                <w:sz w:val="24"/>
                <w:lang w:val="zh-CN"/>
              </w:rPr>
            </w:pPr>
            <w:r>
              <w:rPr>
                <w:rFonts w:hint="eastAsia" w:ascii="仿宋_GB2312" w:hAnsi="仿宋_GB2312" w:eastAsia="仿宋_GB2312" w:cs="仿宋_GB2312"/>
                <w:sz w:val="24"/>
                <w:lang w:val="zh-CN"/>
              </w:rPr>
              <w:t>应用和数据安全</w:t>
            </w:r>
          </w:p>
        </w:tc>
        <w:tc>
          <w:tcPr>
            <w:tcW w:w="6298" w:type="dxa"/>
            <w:gridSpan w:val="2"/>
            <w:vAlign w:val="center"/>
          </w:tcPr>
          <w:p>
            <w:pPr>
              <w:pStyle w:val="7"/>
              <w:adjustRightInd/>
              <w:spacing w:line="360" w:lineRule="auto"/>
              <w:rPr>
                <w:rFonts w:ascii="仿宋_GB2312" w:hAnsi="仿宋_GB2312" w:eastAsia="仿宋_GB2312" w:cs="仿宋_GB2312"/>
              </w:rPr>
            </w:pPr>
            <w:r>
              <w:rPr>
                <w:rFonts w:hint="eastAsia" w:ascii="仿宋_GB2312" w:hAnsi="仿宋_GB2312" w:eastAsia="仿宋_GB2312" w:cs="仿宋_GB2312"/>
              </w:rPr>
              <w:t>a) 应使用密码技术对登录的用户进行身份标识和鉴别，实现身份鉴别信息的防截获、防假冒和防重用，保证应用系统用户身份的真实性；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continue"/>
            <w:vAlign w:val="center"/>
          </w:tcPr>
          <w:p>
            <w:pPr>
              <w:spacing w:line="360" w:lineRule="auto"/>
              <w:jc w:val="center"/>
              <w:rPr>
                <w:rFonts w:ascii="仿宋_GB2312" w:hAnsi="仿宋_GB2312" w:eastAsia="仿宋_GB2312" w:cs="仿宋_GB2312"/>
                <w:sz w:val="24"/>
                <w:lang w:val="zh-CN"/>
              </w:rPr>
            </w:pPr>
          </w:p>
        </w:tc>
        <w:tc>
          <w:tcPr>
            <w:tcW w:w="1419" w:type="dxa"/>
            <w:vMerge w:val="continue"/>
            <w:vAlign w:val="center"/>
          </w:tcPr>
          <w:p>
            <w:pPr>
              <w:spacing w:line="360" w:lineRule="auto"/>
              <w:jc w:val="center"/>
              <w:rPr>
                <w:rFonts w:ascii="仿宋_GB2312" w:hAnsi="仿宋_GB2312" w:eastAsia="仿宋_GB2312" w:cs="仿宋_GB2312"/>
                <w:sz w:val="24"/>
                <w:lang w:val="zh-CN"/>
              </w:rPr>
            </w:pPr>
          </w:p>
        </w:tc>
        <w:tc>
          <w:tcPr>
            <w:tcW w:w="6298" w:type="dxa"/>
            <w:gridSpan w:val="2"/>
            <w:vAlign w:val="center"/>
          </w:tcPr>
          <w:p>
            <w:pPr>
              <w:pStyle w:val="7"/>
              <w:adjustRightInd/>
              <w:spacing w:line="360" w:lineRule="auto"/>
              <w:rPr>
                <w:rFonts w:ascii="仿宋_GB2312" w:hAnsi="仿宋_GB2312" w:eastAsia="仿宋_GB2312" w:cs="仿宋_GB2312"/>
              </w:rPr>
            </w:pPr>
            <w:r>
              <w:rPr>
                <w:rFonts w:hint="eastAsia" w:ascii="仿宋_GB2312" w:hAnsi="仿宋_GB2312" w:eastAsia="仿宋_GB2312" w:cs="仿宋_GB2312"/>
              </w:rPr>
              <w:t xml:space="preserve">b) 应使用密码技术的完整性功能来保证业务应用系统访问控制策略、数据库表访问控制信息和重要信息资源敏感标记等信息的完整性；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continue"/>
            <w:vAlign w:val="center"/>
          </w:tcPr>
          <w:p>
            <w:pPr>
              <w:spacing w:line="360" w:lineRule="auto"/>
              <w:jc w:val="center"/>
              <w:rPr>
                <w:rFonts w:ascii="仿宋_GB2312" w:hAnsi="仿宋_GB2312" w:eastAsia="仿宋_GB2312" w:cs="仿宋_GB2312"/>
                <w:sz w:val="24"/>
                <w:lang w:val="zh-CN"/>
              </w:rPr>
            </w:pPr>
          </w:p>
        </w:tc>
        <w:tc>
          <w:tcPr>
            <w:tcW w:w="1419" w:type="dxa"/>
            <w:vMerge w:val="continue"/>
            <w:vAlign w:val="center"/>
          </w:tcPr>
          <w:p>
            <w:pPr>
              <w:spacing w:line="360" w:lineRule="auto"/>
              <w:jc w:val="center"/>
              <w:rPr>
                <w:rFonts w:ascii="仿宋_GB2312" w:hAnsi="仿宋_GB2312" w:eastAsia="仿宋_GB2312" w:cs="仿宋_GB2312"/>
                <w:sz w:val="24"/>
                <w:lang w:val="zh-CN"/>
              </w:rPr>
            </w:pPr>
          </w:p>
        </w:tc>
        <w:tc>
          <w:tcPr>
            <w:tcW w:w="6298" w:type="dxa"/>
            <w:gridSpan w:val="2"/>
            <w:vAlign w:val="center"/>
          </w:tcPr>
          <w:p>
            <w:pPr>
              <w:pStyle w:val="7"/>
              <w:adjustRightInd/>
              <w:spacing w:line="360" w:lineRule="auto"/>
              <w:rPr>
                <w:rFonts w:ascii="仿宋_GB2312" w:hAnsi="仿宋_GB2312" w:eastAsia="仿宋_GB2312" w:cs="仿宋_GB2312"/>
              </w:rPr>
            </w:pPr>
            <w:r>
              <w:rPr>
                <w:rFonts w:hint="eastAsia" w:ascii="仿宋_GB2312" w:hAnsi="仿宋_GB2312" w:eastAsia="仿宋_GB2312" w:cs="仿宋_GB2312"/>
              </w:rPr>
              <w:t xml:space="preserve">c) 应采用密码技术保证重要数据在传输过程中的机密性，包括但不限于鉴别数据、重要业务数据和重要用户信息等；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continue"/>
            <w:vAlign w:val="center"/>
          </w:tcPr>
          <w:p>
            <w:pPr>
              <w:spacing w:line="360" w:lineRule="auto"/>
              <w:jc w:val="center"/>
              <w:rPr>
                <w:rFonts w:ascii="仿宋_GB2312" w:hAnsi="仿宋_GB2312" w:eastAsia="仿宋_GB2312" w:cs="仿宋_GB2312"/>
                <w:sz w:val="24"/>
                <w:lang w:val="zh-CN"/>
              </w:rPr>
            </w:pPr>
          </w:p>
        </w:tc>
        <w:tc>
          <w:tcPr>
            <w:tcW w:w="1419" w:type="dxa"/>
            <w:vMerge w:val="continue"/>
            <w:vAlign w:val="center"/>
          </w:tcPr>
          <w:p>
            <w:pPr>
              <w:spacing w:line="360" w:lineRule="auto"/>
              <w:jc w:val="center"/>
              <w:rPr>
                <w:rFonts w:ascii="仿宋_GB2312" w:hAnsi="仿宋_GB2312" w:eastAsia="仿宋_GB2312" w:cs="仿宋_GB2312"/>
                <w:sz w:val="24"/>
                <w:lang w:val="zh-CN"/>
              </w:rPr>
            </w:pPr>
          </w:p>
        </w:tc>
        <w:tc>
          <w:tcPr>
            <w:tcW w:w="6298" w:type="dxa"/>
            <w:gridSpan w:val="2"/>
            <w:vAlign w:val="center"/>
          </w:tcPr>
          <w:p>
            <w:pPr>
              <w:pStyle w:val="7"/>
              <w:adjustRightInd/>
              <w:spacing w:line="360" w:lineRule="auto"/>
              <w:rPr>
                <w:rFonts w:ascii="仿宋_GB2312" w:hAnsi="仿宋_GB2312" w:eastAsia="仿宋_GB2312" w:cs="仿宋_GB2312"/>
              </w:rPr>
            </w:pPr>
            <w:r>
              <w:rPr>
                <w:rFonts w:hint="eastAsia" w:ascii="仿宋_GB2312" w:hAnsi="仿宋_GB2312" w:eastAsia="仿宋_GB2312" w:cs="仿宋_GB2312"/>
              </w:rPr>
              <w:t>d) 应采用密码技术保证重要数据在存储过程中的机密性，包括但不限于鉴别数据、重要业务数据和重要用户信息等；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continue"/>
            <w:vAlign w:val="center"/>
          </w:tcPr>
          <w:p>
            <w:pPr>
              <w:spacing w:line="360" w:lineRule="auto"/>
              <w:jc w:val="center"/>
              <w:rPr>
                <w:rFonts w:ascii="仿宋_GB2312" w:hAnsi="仿宋_GB2312" w:eastAsia="仿宋_GB2312" w:cs="仿宋_GB2312"/>
                <w:sz w:val="24"/>
                <w:lang w:val="zh-CN"/>
              </w:rPr>
            </w:pPr>
          </w:p>
        </w:tc>
        <w:tc>
          <w:tcPr>
            <w:tcW w:w="1419" w:type="dxa"/>
            <w:vMerge w:val="continue"/>
            <w:vAlign w:val="center"/>
          </w:tcPr>
          <w:p>
            <w:pPr>
              <w:spacing w:line="360" w:lineRule="auto"/>
              <w:jc w:val="center"/>
              <w:rPr>
                <w:rFonts w:ascii="仿宋_GB2312" w:hAnsi="仿宋_GB2312" w:eastAsia="仿宋_GB2312" w:cs="仿宋_GB2312"/>
                <w:sz w:val="24"/>
                <w:lang w:val="zh-CN"/>
              </w:rPr>
            </w:pPr>
          </w:p>
        </w:tc>
        <w:tc>
          <w:tcPr>
            <w:tcW w:w="6298" w:type="dxa"/>
            <w:gridSpan w:val="2"/>
            <w:vAlign w:val="center"/>
          </w:tcPr>
          <w:p>
            <w:pPr>
              <w:pStyle w:val="7"/>
              <w:adjustRightInd/>
              <w:spacing w:line="360" w:lineRule="auto"/>
              <w:rPr>
                <w:rFonts w:ascii="仿宋_GB2312" w:hAnsi="仿宋_GB2312" w:eastAsia="仿宋_GB2312" w:cs="仿宋_GB2312"/>
              </w:rPr>
            </w:pPr>
            <w:r>
              <w:rPr>
                <w:rFonts w:hint="eastAsia" w:ascii="仿宋_GB2312" w:hAnsi="仿宋_GB2312" w:eastAsia="仿宋_GB2312" w:cs="仿宋_GB2312"/>
              </w:rPr>
              <w:t xml:space="preserve">e) 应采用密码技术保证重要数据在传输过程中的完整性，包括但不限于鉴别数据、重要业务数据、重要审计数据、重要配置数据、重要视频数据和重要用户信息等；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continue"/>
            <w:vAlign w:val="center"/>
          </w:tcPr>
          <w:p>
            <w:pPr>
              <w:spacing w:line="360" w:lineRule="auto"/>
              <w:jc w:val="center"/>
              <w:rPr>
                <w:rFonts w:ascii="仿宋_GB2312" w:hAnsi="仿宋_GB2312" w:eastAsia="仿宋_GB2312" w:cs="仿宋_GB2312"/>
                <w:sz w:val="24"/>
                <w:lang w:val="zh-CN"/>
              </w:rPr>
            </w:pPr>
          </w:p>
        </w:tc>
        <w:tc>
          <w:tcPr>
            <w:tcW w:w="1419" w:type="dxa"/>
            <w:vMerge w:val="continue"/>
            <w:vAlign w:val="center"/>
          </w:tcPr>
          <w:p>
            <w:pPr>
              <w:spacing w:line="360" w:lineRule="auto"/>
              <w:jc w:val="center"/>
              <w:rPr>
                <w:rFonts w:ascii="仿宋_GB2312" w:hAnsi="仿宋_GB2312" w:eastAsia="仿宋_GB2312" w:cs="仿宋_GB2312"/>
                <w:sz w:val="24"/>
                <w:lang w:val="zh-CN"/>
              </w:rPr>
            </w:pPr>
          </w:p>
        </w:tc>
        <w:tc>
          <w:tcPr>
            <w:tcW w:w="6298" w:type="dxa"/>
            <w:gridSpan w:val="2"/>
            <w:vAlign w:val="center"/>
          </w:tcPr>
          <w:p>
            <w:pPr>
              <w:pStyle w:val="7"/>
              <w:adjustRightInd/>
              <w:spacing w:line="360" w:lineRule="auto"/>
              <w:rPr>
                <w:rFonts w:ascii="仿宋_GB2312" w:hAnsi="仿宋_GB2312" w:eastAsia="仿宋_GB2312" w:cs="仿宋_GB2312"/>
                <w:lang w:val="zh-CN"/>
              </w:rPr>
            </w:pPr>
            <w:r>
              <w:rPr>
                <w:rFonts w:hint="eastAsia" w:ascii="仿宋_GB2312" w:hAnsi="仿宋_GB2312" w:eastAsia="仿宋_GB2312" w:cs="仿宋_GB2312"/>
              </w:rPr>
              <w:t xml:space="preserve">f) 应采用密码技术保证重要数据在存储过程中的完整性，包括但不限于鉴别数据、重要业务数据、重要审计数据、重要配置数据、重要视频数据和重要用户信息、重要可执行程序等；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continue"/>
            <w:vAlign w:val="center"/>
          </w:tcPr>
          <w:p>
            <w:pPr>
              <w:spacing w:line="360" w:lineRule="auto"/>
              <w:jc w:val="center"/>
              <w:rPr>
                <w:rFonts w:ascii="仿宋_GB2312" w:hAnsi="仿宋_GB2312" w:eastAsia="仿宋_GB2312" w:cs="仿宋_GB2312"/>
                <w:sz w:val="24"/>
                <w:lang w:val="zh-CN"/>
              </w:rPr>
            </w:pPr>
          </w:p>
        </w:tc>
        <w:tc>
          <w:tcPr>
            <w:tcW w:w="1419" w:type="dxa"/>
            <w:vMerge w:val="continue"/>
            <w:vAlign w:val="center"/>
          </w:tcPr>
          <w:p>
            <w:pPr>
              <w:spacing w:line="360" w:lineRule="auto"/>
              <w:jc w:val="center"/>
              <w:rPr>
                <w:rFonts w:ascii="仿宋_GB2312" w:hAnsi="仿宋_GB2312" w:eastAsia="仿宋_GB2312" w:cs="仿宋_GB2312"/>
                <w:sz w:val="24"/>
                <w:lang w:val="zh-CN"/>
              </w:rPr>
            </w:pPr>
          </w:p>
        </w:tc>
        <w:tc>
          <w:tcPr>
            <w:tcW w:w="6298" w:type="dxa"/>
            <w:gridSpan w:val="2"/>
            <w:vAlign w:val="center"/>
          </w:tcPr>
          <w:p>
            <w:pPr>
              <w:pStyle w:val="7"/>
              <w:adjustRightInd/>
              <w:spacing w:line="360" w:lineRule="auto"/>
              <w:rPr>
                <w:rFonts w:ascii="仿宋_GB2312" w:hAnsi="仿宋_GB2312" w:eastAsia="仿宋_GB2312" w:cs="仿宋_GB2312"/>
              </w:rPr>
            </w:pPr>
            <w:r>
              <w:rPr>
                <w:rFonts w:hint="eastAsia" w:ascii="仿宋_GB2312" w:hAnsi="仿宋_GB2312" w:eastAsia="仿宋_GB2312" w:cs="仿宋_GB2312"/>
              </w:rPr>
              <w:t xml:space="preserve">g) 应使用密码技术的完整性功能来实现对日志记录完整性的保护；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continue"/>
            <w:vAlign w:val="center"/>
          </w:tcPr>
          <w:p>
            <w:pPr>
              <w:spacing w:line="360" w:lineRule="auto"/>
              <w:jc w:val="center"/>
              <w:rPr>
                <w:rFonts w:ascii="仿宋_GB2312" w:hAnsi="仿宋_GB2312" w:eastAsia="仿宋_GB2312" w:cs="仿宋_GB2312"/>
                <w:sz w:val="24"/>
                <w:lang w:val="zh-CN"/>
              </w:rPr>
            </w:pPr>
          </w:p>
        </w:tc>
        <w:tc>
          <w:tcPr>
            <w:tcW w:w="1419" w:type="dxa"/>
            <w:vMerge w:val="continue"/>
            <w:vAlign w:val="center"/>
          </w:tcPr>
          <w:p>
            <w:pPr>
              <w:spacing w:line="360" w:lineRule="auto"/>
              <w:jc w:val="center"/>
              <w:rPr>
                <w:rFonts w:ascii="仿宋_GB2312" w:hAnsi="仿宋_GB2312" w:eastAsia="仿宋_GB2312" w:cs="仿宋_GB2312"/>
                <w:sz w:val="24"/>
                <w:lang w:val="zh-CN"/>
              </w:rPr>
            </w:pPr>
          </w:p>
        </w:tc>
        <w:tc>
          <w:tcPr>
            <w:tcW w:w="6298" w:type="dxa"/>
            <w:gridSpan w:val="2"/>
            <w:vAlign w:val="center"/>
          </w:tcPr>
          <w:p>
            <w:pPr>
              <w:pStyle w:val="7"/>
              <w:adjustRightInd/>
              <w:spacing w:line="360" w:lineRule="auto"/>
              <w:rPr>
                <w:rFonts w:ascii="仿宋_GB2312" w:hAnsi="仿宋_GB2312" w:eastAsia="仿宋_GB2312" w:cs="仿宋_GB2312"/>
              </w:rPr>
            </w:pPr>
            <w:r>
              <w:rPr>
                <w:rFonts w:hint="eastAsia" w:ascii="仿宋_GB2312" w:hAnsi="仿宋_GB2312" w:eastAsia="仿宋_GB2312" w:cs="仿宋_GB2312"/>
              </w:rPr>
              <w:t xml:space="preserve">h) 应采用密码技术对重要应用程序的加载和卸载进行安全控制；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continue"/>
            <w:vAlign w:val="center"/>
          </w:tcPr>
          <w:p>
            <w:pPr>
              <w:spacing w:line="360" w:lineRule="auto"/>
              <w:jc w:val="center"/>
              <w:rPr>
                <w:rFonts w:ascii="仿宋_GB2312" w:hAnsi="仿宋_GB2312" w:eastAsia="仿宋_GB2312" w:cs="仿宋_GB2312"/>
                <w:sz w:val="24"/>
                <w:lang w:val="zh-CN"/>
              </w:rPr>
            </w:pPr>
          </w:p>
        </w:tc>
        <w:tc>
          <w:tcPr>
            <w:tcW w:w="1419" w:type="dxa"/>
            <w:vMerge w:val="continue"/>
            <w:vAlign w:val="center"/>
          </w:tcPr>
          <w:p>
            <w:pPr>
              <w:spacing w:line="360" w:lineRule="auto"/>
              <w:jc w:val="center"/>
              <w:rPr>
                <w:rFonts w:ascii="仿宋_GB2312" w:hAnsi="仿宋_GB2312" w:eastAsia="仿宋_GB2312" w:cs="仿宋_GB2312"/>
                <w:sz w:val="24"/>
                <w:lang w:val="zh-CN"/>
              </w:rPr>
            </w:pPr>
          </w:p>
        </w:tc>
        <w:tc>
          <w:tcPr>
            <w:tcW w:w="6298" w:type="dxa"/>
            <w:gridSpan w:val="2"/>
            <w:vAlign w:val="center"/>
          </w:tcPr>
          <w:p>
            <w:pPr>
              <w:spacing w:line="360" w:lineRule="auto"/>
              <w:jc w:val="left"/>
              <w:rPr>
                <w:rFonts w:ascii="仿宋_GB2312" w:hAnsi="仿宋_GB2312" w:eastAsia="仿宋_GB2312" w:cs="仿宋_GB2312"/>
                <w:sz w:val="24"/>
                <w:lang w:val="zh-CN"/>
              </w:rPr>
            </w:pPr>
            <w:r>
              <w:rPr>
                <w:rFonts w:hint="eastAsia" w:ascii="仿宋_GB2312" w:hAnsi="仿宋_GB2312" w:eastAsia="仿宋_GB2312" w:cs="仿宋_GB2312"/>
                <w:sz w:val="24"/>
              </w:rPr>
              <w:t>i) 宜采用符合GM/T 0028的三级及以上密码模块或通过国家密码管理部门核准的硬件密码产品实现密码运算和密钥管理。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restart"/>
            <w:vAlign w:val="center"/>
          </w:tcPr>
          <w:p>
            <w:pPr>
              <w:spacing w:line="360" w:lineRule="auto"/>
              <w:jc w:val="center"/>
              <w:rPr>
                <w:rFonts w:ascii="仿宋_GB2312" w:hAnsi="仿宋_GB2312" w:eastAsia="仿宋_GB2312" w:cs="仿宋_GB2312"/>
                <w:sz w:val="24"/>
                <w:lang w:val="zh-CN"/>
              </w:rPr>
            </w:pPr>
            <w:r>
              <w:rPr>
                <w:rFonts w:hint="eastAsia" w:ascii="仿宋_GB2312" w:hAnsi="仿宋_GB2312" w:eastAsia="仿宋_GB2312" w:cs="仿宋_GB2312"/>
                <w:sz w:val="24"/>
                <w:lang w:val="zh-CN"/>
              </w:rPr>
              <w:t>密钥管理</w:t>
            </w:r>
          </w:p>
        </w:tc>
        <w:tc>
          <w:tcPr>
            <w:tcW w:w="1419" w:type="dxa"/>
            <w:vAlign w:val="center"/>
          </w:tcPr>
          <w:p>
            <w:pPr>
              <w:spacing w:line="360" w:lineRule="auto"/>
              <w:jc w:val="center"/>
              <w:rPr>
                <w:rFonts w:ascii="仿宋_GB2312" w:hAnsi="仿宋_GB2312" w:eastAsia="仿宋_GB2312" w:cs="仿宋_GB2312"/>
                <w:sz w:val="24"/>
                <w:lang w:val="zh-CN"/>
              </w:rPr>
            </w:pPr>
            <w:r>
              <w:rPr>
                <w:rFonts w:hint="eastAsia" w:ascii="仿宋_GB2312" w:hAnsi="仿宋_GB2312" w:eastAsia="仿宋_GB2312" w:cs="仿宋_GB2312"/>
                <w:color w:val="000000"/>
                <w:sz w:val="24"/>
              </w:rPr>
              <w:t>密钥生成</w:t>
            </w:r>
          </w:p>
        </w:tc>
        <w:tc>
          <w:tcPr>
            <w:tcW w:w="6298" w:type="dxa"/>
            <w:gridSpan w:val="2"/>
            <w:vAlign w:val="center"/>
          </w:tcPr>
          <w:p>
            <w:pPr>
              <w:pStyle w:val="7"/>
              <w:adjustRightInd/>
              <w:spacing w:line="360" w:lineRule="auto"/>
              <w:rPr>
                <w:rFonts w:ascii="仿宋_GB2312" w:hAnsi="仿宋_GB2312" w:eastAsia="仿宋_GB2312" w:cs="仿宋_GB2312"/>
              </w:rPr>
            </w:pPr>
            <w:r>
              <w:rPr>
                <w:rFonts w:hint="eastAsia" w:ascii="仿宋_GB2312" w:hAnsi="仿宋_GB2312" w:eastAsia="仿宋_GB2312" w:cs="仿宋_GB2312"/>
              </w:rPr>
              <w:t xml:space="preserve">a)密钥生成使用的随机数应符合GM/T 0005要求，密钥应在符合GM/T 0028的密码模块中产生；密钥应在密码模块内部产生，不得以明文方式出现在密码模块之外；应具备检查和剔除弱密钥的能力。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continue"/>
            <w:vAlign w:val="center"/>
          </w:tcPr>
          <w:p>
            <w:pPr>
              <w:spacing w:line="360" w:lineRule="auto"/>
              <w:jc w:val="center"/>
              <w:rPr>
                <w:rFonts w:ascii="仿宋_GB2312" w:hAnsi="仿宋_GB2312" w:eastAsia="仿宋_GB2312" w:cs="仿宋_GB2312"/>
                <w:sz w:val="24"/>
                <w:lang w:val="zh-CN"/>
              </w:rPr>
            </w:pPr>
          </w:p>
        </w:tc>
        <w:tc>
          <w:tcPr>
            <w:tcW w:w="1419" w:type="dxa"/>
            <w:vAlign w:val="center"/>
          </w:tcPr>
          <w:p>
            <w:pPr>
              <w:spacing w:line="360" w:lineRule="auto"/>
              <w:jc w:val="center"/>
              <w:rPr>
                <w:rFonts w:ascii="仿宋_GB2312" w:hAnsi="仿宋_GB2312" w:eastAsia="仿宋_GB2312" w:cs="仿宋_GB2312"/>
                <w:sz w:val="24"/>
                <w:lang w:val="zh-CN"/>
              </w:rPr>
            </w:pPr>
            <w:r>
              <w:rPr>
                <w:rFonts w:hint="eastAsia" w:ascii="仿宋_GB2312" w:hAnsi="仿宋_GB2312" w:eastAsia="仿宋_GB2312" w:cs="仿宋_GB2312"/>
                <w:color w:val="000000"/>
                <w:sz w:val="24"/>
              </w:rPr>
              <w:t>密钥存储</w:t>
            </w:r>
          </w:p>
        </w:tc>
        <w:tc>
          <w:tcPr>
            <w:tcW w:w="6298" w:type="dxa"/>
            <w:gridSpan w:val="2"/>
            <w:vAlign w:val="center"/>
          </w:tcPr>
          <w:p>
            <w:pPr>
              <w:pStyle w:val="7"/>
              <w:adjustRightInd/>
              <w:spacing w:line="360" w:lineRule="auto"/>
              <w:rPr>
                <w:rFonts w:ascii="仿宋_GB2312" w:hAnsi="仿宋_GB2312" w:eastAsia="仿宋_GB2312" w:cs="仿宋_GB2312"/>
              </w:rPr>
            </w:pPr>
            <w:r>
              <w:rPr>
                <w:rFonts w:hint="eastAsia" w:ascii="仿宋_GB2312" w:hAnsi="仿宋_GB2312" w:eastAsia="仿宋_GB2312" w:cs="仿宋_GB2312"/>
              </w:rPr>
              <w:t xml:space="preserve">a)密钥应加密存储，并采取严格的安全防护措施，防止密钥被非法获取；密钥加密密钥应存储在符合GM/T 0028的二级及以上密码模块中。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continue"/>
            <w:vAlign w:val="center"/>
          </w:tcPr>
          <w:p>
            <w:pPr>
              <w:spacing w:line="360" w:lineRule="auto"/>
              <w:jc w:val="center"/>
              <w:rPr>
                <w:rFonts w:ascii="仿宋_GB2312" w:hAnsi="仿宋_GB2312" w:eastAsia="仿宋_GB2312" w:cs="仿宋_GB2312"/>
                <w:sz w:val="24"/>
                <w:lang w:val="zh-CN"/>
              </w:rPr>
            </w:pPr>
          </w:p>
        </w:tc>
        <w:tc>
          <w:tcPr>
            <w:tcW w:w="1419" w:type="dxa"/>
            <w:vAlign w:val="center"/>
          </w:tcPr>
          <w:p>
            <w:pPr>
              <w:spacing w:line="360" w:lineRule="auto"/>
              <w:jc w:val="center"/>
              <w:rPr>
                <w:rFonts w:ascii="仿宋_GB2312" w:hAnsi="仿宋_GB2312" w:eastAsia="仿宋_GB2312" w:cs="仿宋_GB2312"/>
                <w:sz w:val="24"/>
                <w:lang w:val="zh-CN"/>
              </w:rPr>
            </w:pPr>
            <w:r>
              <w:rPr>
                <w:rFonts w:hint="eastAsia" w:ascii="仿宋_GB2312" w:hAnsi="仿宋_GB2312" w:eastAsia="仿宋_GB2312" w:cs="仿宋_GB2312"/>
                <w:color w:val="000000"/>
                <w:sz w:val="24"/>
              </w:rPr>
              <w:t>密钥使用</w:t>
            </w:r>
          </w:p>
        </w:tc>
        <w:tc>
          <w:tcPr>
            <w:tcW w:w="6298" w:type="dxa"/>
            <w:gridSpan w:val="2"/>
            <w:vAlign w:val="center"/>
          </w:tcPr>
          <w:p>
            <w:pPr>
              <w:pStyle w:val="7"/>
              <w:adjustRightInd/>
              <w:spacing w:line="360" w:lineRule="auto"/>
              <w:rPr>
                <w:rFonts w:ascii="仿宋_GB2312" w:hAnsi="仿宋_GB2312" w:eastAsia="仿宋_GB2312" w:cs="仿宋_GB2312"/>
              </w:rPr>
            </w:pPr>
            <w:r>
              <w:rPr>
                <w:rFonts w:hint="eastAsia" w:ascii="仿宋_GB2312" w:hAnsi="仿宋_GB2312" w:eastAsia="仿宋_GB2312" w:cs="仿宋_GB2312"/>
              </w:rPr>
              <w:t xml:space="preserve">a)密钥应明确用途，并按用途正确使用；对于公钥密码体制，在使用公钥之前应对其进行验证；应有安全措施防止密钥的泄露和替换；密钥泄露时，应停止使用，并启动相应的应急处理和响应措施。应按照密钥更换周期要求更换密钥；应采取有效的安全措施，保证密钥更换时的安全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continue"/>
            <w:vAlign w:val="center"/>
          </w:tcPr>
          <w:p>
            <w:pPr>
              <w:spacing w:line="360" w:lineRule="auto"/>
              <w:jc w:val="center"/>
              <w:rPr>
                <w:rFonts w:ascii="仿宋_GB2312" w:hAnsi="仿宋_GB2312" w:eastAsia="仿宋_GB2312" w:cs="仿宋_GB2312"/>
                <w:sz w:val="24"/>
                <w:lang w:val="zh-CN"/>
              </w:rPr>
            </w:pPr>
          </w:p>
        </w:tc>
        <w:tc>
          <w:tcPr>
            <w:tcW w:w="1419" w:type="dxa"/>
            <w:vAlign w:val="center"/>
          </w:tcPr>
          <w:p>
            <w:pPr>
              <w:spacing w:line="360" w:lineRule="auto"/>
              <w:jc w:val="center"/>
              <w:rPr>
                <w:rFonts w:ascii="仿宋_GB2312" w:hAnsi="仿宋_GB2312" w:eastAsia="仿宋_GB2312" w:cs="仿宋_GB2312"/>
                <w:sz w:val="24"/>
                <w:lang w:val="zh-CN"/>
              </w:rPr>
            </w:pPr>
            <w:r>
              <w:rPr>
                <w:rFonts w:hint="eastAsia" w:ascii="仿宋_GB2312" w:hAnsi="仿宋_GB2312" w:eastAsia="仿宋_GB2312" w:cs="仿宋_GB2312"/>
                <w:color w:val="000000"/>
                <w:sz w:val="24"/>
              </w:rPr>
              <w:t>密钥分发</w:t>
            </w:r>
          </w:p>
        </w:tc>
        <w:tc>
          <w:tcPr>
            <w:tcW w:w="6298" w:type="dxa"/>
            <w:gridSpan w:val="2"/>
            <w:vAlign w:val="center"/>
          </w:tcPr>
          <w:p>
            <w:pPr>
              <w:pStyle w:val="7"/>
              <w:adjustRightInd/>
              <w:spacing w:line="360" w:lineRule="auto"/>
              <w:rPr>
                <w:rFonts w:ascii="仿宋_GB2312" w:hAnsi="仿宋_GB2312" w:eastAsia="仿宋_GB2312" w:cs="仿宋_GB2312"/>
              </w:rPr>
            </w:pPr>
            <w:r>
              <w:rPr>
                <w:rFonts w:hint="eastAsia" w:ascii="仿宋_GB2312" w:hAnsi="仿宋_GB2312" w:eastAsia="仿宋_GB2312" w:cs="仿宋_GB2312"/>
              </w:rPr>
              <w:t xml:space="preserve">a)应采取安全措施，防止密钥导入导出时被非法获取或篡改，并保证密钥的正确性。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continue"/>
            <w:vAlign w:val="center"/>
          </w:tcPr>
          <w:p>
            <w:pPr>
              <w:spacing w:line="360" w:lineRule="auto"/>
              <w:jc w:val="center"/>
              <w:rPr>
                <w:rFonts w:ascii="仿宋_GB2312" w:hAnsi="仿宋_GB2312" w:eastAsia="仿宋_GB2312" w:cs="仿宋_GB2312"/>
                <w:sz w:val="24"/>
                <w:lang w:val="zh-CN"/>
              </w:rPr>
            </w:pPr>
          </w:p>
        </w:tc>
        <w:tc>
          <w:tcPr>
            <w:tcW w:w="1419" w:type="dxa"/>
            <w:vAlign w:val="center"/>
          </w:tcPr>
          <w:p>
            <w:pPr>
              <w:spacing w:line="360" w:lineRule="auto"/>
              <w:jc w:val="center"/>
              <w:rPr>
                <w:rFonts w:ascii="仿宋_GB2312" w:hAnsi="仿宋_GB2312" w:eastAsia="仿宋_GB2312" w:cs="仿宋_GB2312"/>
                <w:sz w:val="24"/>
                <w:lang w:val="zh-CN"/>
              </w:rPr>
            </w:pPr>
            <w:r>
              <w:rPr>
                <w:rFonts w:hint="eastAsia" w:ascii="仿宋_GB2312" w:hAnsi="仿宋_GB2312" w:eastAsia="仿宋_GB2312" w:cs="仿宋_GB2312"/>
                <w:color w:val="000000"/>
                <w:sz w:val="24"/>
              </w:rPr>
              <w:t>密钥导入与导出</w:t>
            </w:r>
          </w:p>
        </w:tc>
        <w:tc>
          <w:tcPr>
            <w:tcW w:w="6298" w:type="dxa"/>
            <w:gridSpan w:val="2"/>
            <w:vAlign w:val="center"/>
          </w:tcPr>
          <w:p>
            <w:pPr>
              <w:pStyle w:val="7"/>
              <w:adjustRightInd/>
              <w:spacing w:line="360" w:lineRule="auto"/>
              <w:rPr>
                <w:rFonts w:ascii="仿宋_GB2312" w:hAnsi="仿宋_GB2312" w:eastAsia="仿宋_GB2312" w:cs="仿宋_GB2312"/>
                <w:lang w:val="zh-CN"/>
              </w:rPr>
            </w:pPr>
            <w:r>
              <w:rPr>
                <w:rFonts w:hint="eastAsia" w:ascii="仿宋_GB2312" w:hAnsi="仿宋_GB2312" w:eastAsia="仿宋_GB2312" w:cs="仿宋_GB2312"/>
              </w:rPr>
              <w:t>a)应采取安全措施，防止密钥导入导出时被非法获取或篡改，并保证密钥的正确性。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continue"/>
            <w:vAlign w:val="center"/>
          </w:tcPr>
          <w:p>
            <w:pPr>
              <w:spacing w:line="360" w:lineRule="auto"/>
              <w:jc w:val="center"/>
              <w:rPr>
                <w:rFonts w:ascii="仿宋_GB2312" w:hAnsi="仿宋_GB2312" w:eastAsia="仿宋_GB2312" w:cs="仿宋_GB2312"/>
                <w:sz w:val="24"/>
                <w:lang w:val="zh-CN"/>
              </w:rPr>
            </w:pPr>
          </w:p>
        </w:tc>
        <w:tc>
          <w:tcPr>
            <w:tcW w:w="1419" w:type="dxa"/>
            <w:vAlign w:val="center"/>
          </w:tcPr>
          <w:p>
            <w:pPr>
              <w:spacing w:line="360" w:lineRule="auto"/>
              <w:jc w:val="center"/>
              <w:rPr>
                <w:rFonts w:ascii="仿宋_GB2312" w:hAnsi="仿宋_GB2312" w:eastAsia="仿宋_GB2312" w:cs="仿宋_GB2312"/>
                <w:sz w:val="24"/>
                <w:lang w:val="zh-CN"/>
              </w:rPr>
            </w:pPr>
            <w:r>
              <w:rPr>
                <w:rFonts w:hint="eastAsia" w:ascii="仿宋_GB2312" w:hAnsi="仿宋_GB2312" w:eastAsia="仿宋_GB2312" w:cs="仿宋_GB2312"/>
                <w:color w:val="000000"/>
                <w:sz w:val="24"/>
              </w:rPr>
              <w:t>密钥备份与恢复</w:t>
            </w:r>
          </w:p>
        </w:tc>
        <w:tc>
          <w:tcPr>
            <w:tcW w:w="6298" w:type="dxa"/>
            <w:gridSpan w:val="2"/>
            <w:vAlign w:val="center"/>
          </w:tcPr>
          <w:p>
            <w:pPr>
              <w:spacing w:line="360" w:lineRule="auto"/>
              <w:jc w:val="left"/>
              <w:rPr>
                <w:rFonts w:ascii="仿宋_GB2312" w:hAnsi="仿宋_GB2312" w:eastAsia="仿宋_GB2312" w:cs="仿宋_GB2312"/>
                <w:sz w:val="24"/>
                <w:lang w:val="zh-CN"/>
              </w:rPr>
            </w:pPr>
            <w:r>
              <w:rPr>
                <w:rFonts w:hint="eastAsia" w:ascii="仿宋_GB2312" w:hAnsi="仿宋_GB2312" w:eastAsia="仿宋_GB2312" w:cs="仿宋_GB2312"/>
                <w:sz w:val="24"/>
              </w:rPr>
              <w:t>a)应制定明确的密钥备份策略，采用安全可靠的密钥备份恢复机制，对密钥进行备份或恢复；密钥备份或恢复应进行记录，并生成审计信息；审计信息包括备份或恢复的主体、备份或恢复的时间等。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continue"/>
            <w:vAlign w:val="center"/>
          </w:tcPr>
          <w:p>
            <w:pPr>
              <w:spacing w:line="360" w:lineRule="auto"/>
              <w:jc w:val="center"/>
              <w:rPr>
                <w:rFonts w:ascii="仿宋_GB2312" w:hAnsi="仿宋_GB2312" w:eastAsia="仿宋_GB2312" w:cs="仿宋_GB2312"/>
                <w:sz w:val="24"/>
                <w:lang w:val="zh-CN"/>
              </w:rPr>
            </w:pPr>
          </w:p>
        </w:tc>
        <w:tc>
          <w:tcPr>
            <w:tcW w:w="1419" w:type="dxa"/>
            <w:vAlign w:val="center"/>
          </w:tcPr>
          <w:p>
            <w:pPr>
              <w:spacing w:line="360" w:lineRule="auto"/>
              <w:jc w:val="center"/>
              <w:rPr>
                <w:rFonts w:ascii="仿宋_GB2312" w:hAnsi="仿宋_GB2312" w:eastAsia="仿宋_GB2312" w:cs="仿宋_GB2312"/>
                <w:sz w:val="24"/>
                <w:lang w:val="zh-CN"/>
              </w:rPr>
            </w:pPr>
            <w:r>
              <w:rPr>
                <w:rFonts w:hint="eastAsia" w:ascii="仿宋_GB2312" w:hAnsi="仿宋_GB2312" w:eastAsia="仿宋_GB2312" w:cs="仿宋_GB2312"/>
                <w:color w:val="000000"/>
                <w:sz w:val="24"/>
              </w:rPr>
              <w:t>密钥归档</w:t>
            </w:r>
          </w:p>
        </w:tc>
        <w:tc>
          <w:tcPr>
            <w:tcW w:w="6298" w:type="dxa"/>
            <w:gridSpan w:val="2"/>
            <w:vAlign w:val="center"/>
          </w:tcPr>
          <w:p>
            <w:pPr>
              <w:spacing w:line="360" w:lineRule="auto"/>
              <w:jc w:val="left"/>
              <w:rPr>
                <w:rFonts w:ascii="仿宋_GB2312" w:hAnsi="仿宋_GB2312" w:eastAsia="仿宋_GB2312" w:cs="仿宋_GB2312"/>
                <w:sz w:val="24"/>
                <w:lang w:val="zh-CN"/>
              </w:rPr>
            </w:pPr>
            <w:r>
              <w:rPr>
                <w:rFonts w:hint="eastAsia" w:ascii="仿宋_GB2312" w:hAnsi="仿宋_GB2312" w:eastAsia="仿宋_GB2312" w:cs="仿宋_GB2312"/>
                <w:sz w:val="24"/>
              </w:rPr>
              <w:t>a)应采取有效的安全措施，保证归档密钥的安全性和正确性；归档密钥只能用于解密该密钥加密的历史信息或验证该密钥签名的历史信息；密钥归档应进行记录，并生成审计信息；审计信息包括归档的密钥、归档的时间等；归档密钥应进行数据备份，并采用有效的安全保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continue"/>
            <w:vAlign w:val="center"/>
          </w:tcPr>
          <w:p>
            <w:pPr>
              <w:spacing w:line="360" w:lineRule="auto"/>
              <w:jc w:val="center"/>
              <w:rPr>
                <w:rFonts w:ascii="仿宋_GB2312" w:hAnsi="仿宋_GB2312" w:eastAsia="仿宋_GB2312" w:cs="仿宋_GB2312"/>
                <w:sz w:val="24"/>
                <w:lang w:val="zh-CN"/>
              </w:rPr>
            </w:pPr>
          </w:p>
        </w:tc>
        <w:tc>
          <w:tcPr>
            <w:tcW w:w="1419" w:type="dxa"/>
            <w:vAlign w:val="center"/>
          </w:tcPr>
          <w:p>
            <w:pPr>
              <w:spacing w:line="360" w:lineRule="auto"/>
              <w:jc w:val="center"/>
              <w:rPr>
                <w:rFonts w:ascii="仿宋_GB2312" w:hAnsi="仿宋_GB2312" w:eastAsia="仿宋_GB2312" w:cs="仿宋_GB2312"/>
                <w:sz w:val="24"/>
                <w:lang w:val="zh-CN"/>
              </w:rPr>
            </w:pPr>
            <w:r>
              <w:rPr>
                <w:rFonts w:hint="eastAsia" w:ascii="仿宋_GB2312" w:hAnsi="仿宋_GB2312" w:eastAsia="仿宋_GB2312" w:cs="仿宋_GB2312"/>
                <w:color w:val="000000"/>
                <w:sz w:val="24"/>
              </w:rPr>
              <w:t>密钥销毁</w:t>
            </w:r>
          </w:p>
        </w:tc>
        <w:tc>
          <w:tcPr>
            <w:tcW w:w="6298" w:type="dxa"/>
            <w:gridSpan w:val="2"/>
            <w:vAlign w:val="center"/>
          </w:tcPr>
          <w:p>
            <w:pPr>
              <w:spacing w:line="360" w:lineRule="auto"/>
              <w:jc w:val="left"/>
              <w:rPr>
                <w:rFonts w:ascii="仿宋_GB2312" w:hAnsi="仿宋_GB2312" w:eastAsia="仿宋_GB2312" w:cs="仿宋_GB2312"/>
                <w:sz w:val="24"/>
                <w:lang w:val="zh-CN"/>
              </w:rPr>
            </w:pPr>
            <w:r>
              <w:rPr>
                <w:rFonts w:hint="eastAsia" w:ascii="仿宋_GB2312" w:hAnsi="仿宋_GB2312" w:eastAsia="仿宋_GB2312" w:cs="仿宋_GB2312"/>
                <w:sz w:val="24"/>
              </w:rPr>
              <w:t>a)应具有在紧急情况下销毁密钥的措施。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restart"/>
            <w:vAlign w:val="center"/>
          </w:tcPr>
          <w:p>
            <w:pPr>
              <w:spacing w:line="360" w:lineRule="auto"/>
              <w:jc w:val="center"/>
              <w:rPr>
                <w:rFonts w:ascii="仿宋_GB2312" w:hAnsi="仿宋_GB2312" w:eastAsia="仿宋_GB2312" w:cs="仿宋_GB2312"/>
                <w:sz w:val="24"/>
                <w:lang w:val="zh-CN"/>
              </w:rPr>
            </w:pPr>
            <w:r>
              <w:rPr>
                <w:rFonts w:hint="eastAsia" w:ascii="仿宋_GB2312" w:hAnsi="仿宋_GB2312" w:eastAsia="仿宋_GB2312" w:cs="仿宋_GB2312"/>
                <w:sz w:val="24"/>
                <w:lang w:val="zh-CN"/>
              </w:rPr>
              <w:t>安全管理</w:t>
            </w:r>
          </w:p>
        </w:tc>
        <w:tc>
          <w:tcPr>
            <w:tcW w:w="1419" w:type="dxa"/>
            <w:vMerge w:val="restart"/>
            <w:vAlign w:val="center"/>
          </w:tcPr>
          <w:p>
            <w:pPr>
              <w:spacing w:line="360" w:lineRule="auto"/>
              <w:jc w:val="center"/>
              <w:rPr>
                <w:rFonts w:ascii="仿宋_GB2312" w:hAnsi="仿宋_GB2312" w:eastAsia="仿宋_GB2312" w:cs="仿宋_GB2312"/>
                <w:sz w:val="24"/>
                <w:lang w:val="zh-CN"/>
              </w:rPr>
            </w:pPr>
            <w:r>
              <w:rPr>
                <w:rFonts w:hint="eastAsia" w:ascii="仿宋_GB2312" w:hAnsi="仿宋_GB2312" w:eastAsia="仿宋_GB2312" w:cs="仿宋_GB2312"/>
                <w:color w:val="000000"/>
                <w:sz w:val="24"/>
              </w:rPr>
              <w:t>制度管理</w:t>
            </w:r>
          </w:p>
        </w:tc>
        <w:tc>
          <w:tcPr>
            <w:tcW w:w="6298" w:type="dxa"/>
            <w:gridSpan w:val="2"/>
            <w:vAlign w:val="center"/>
          </w:tcPr>
          <w:p>
            <w:pPr>
              <w:pStyle w:val="7"/>
              <w:adjustRightInd/>
              <w:spacing w:line="360" w:lineRule="auto"/>
              <w:rPr>
                <w:rFonts w:ascii="仿宋_GB2312" w:hAnsi="仿宋_GB2312" w:eastAsia="仿宋_GB2312" w:cs="仿宋_GB2312"/>
              </w:rPr>
            </w:pPr>
            <w:r>
              <w:rPr>
                <w:rFonts w:hint="eastAsia" w:ascii="仿宋_GB2312" w:hAnsi="仿宋_GB2312" w:eastAsia="仿宋_GB2312" w:cs="仿宋_GB2312"/>
              </w:rPr>
              <w:t xml:space="preserve">a) 应制定密码安全管理制度及操作规范、安全操作规范。密码安全管理制度应包括密码建设、运维、人员、设备、密钥等密码管理相关内容；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continue"/>
            <w:vAlign w:val="center"/>
          </w:tcPr>
          <w:p>
            <w:pPr>
              <w:spacing w:line="360" w:lineRule="auto"/>
              <w:jc w:val="center"/>
              <w:rPr>
                <w:rFonts w:ascii="仿宋_GB2312" w:hAnsi="仿宋_GB2312" w:eastAsia="仿宋_GB2312" w:cs="仿宋_GB2312"/>
                <w:sz w:val="24"/>
                <w:lang w:val="zh-CN"/>
              </w:rPr>
            </w:pPr>
          </w:p>
        </w:tc>
        <w:tc>
          <w:tcPr>
            <w:tcW w:w="1419" w:type="dxa"/>
            <w:vMerge w:val="continue"/>
            <w:vAlign w:val="center"/>
          </w:tcPr>
          <w:p>
            <w:pPr>
              <w:spacing w:line="360" w:lineRule="auto"/>
              <w:jc w:val="center"/>
              <w:rPr>
                <w:rFonts w:ascii="仿宋_GB2312" w:hAnsi="仿宋_GB2312" w:eastAsia="仿宋_GB2312" w:cs="仿宋_GB2312"/>
                <w:color w:val="000000"/>
                <w:sz w:val="24"/>
              </w:rPr>
            </w:pPr>
          </w:p>
        </w:tc>
        <w:tc>
          <w:tcPr>
            <w:tcW w:w="6298" w:type="dxa"/>
            <w:gridSpan w:val="2"/>
            <w:vAlign w:val="center"/>
          </w:tcPr>
          <w:p>
            <w:pPr>
              <w:pStyle w:val="7"/>
              <w:adjustRightInd/>
              <w:spacing w:line="360" w:lineRule="auto"/>
              <w:rPr>
                <w:rFonts w:ascii="仿宋_GB2312" w:hAnsi="仿宋_GB2312" w:eastAsia="仿宋_GB2312" w:cs="仿宋_GB2312"/>
              </w:rPr>
            </w:pPr>
            <w:r>
              <w:rPr>
                <w:rFonts w:hint="eastAsia" w:ascii="仿宋_GB2312" w:hAnsi="仿宋_GB2312" w:eastAsia="仿宋_GB2312" w:cs="仿宋_GB2312"/>
              </w:rPr>
              <w:t xml:space="preserve">b) 应定期对密码安全管理制度的合理性和适用性进行论证和审定，对存在不足或需要改进的安全管理制度进行修订；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continue"/>
            <w:vAlign w:val="center"/>
          </w:tcPr>
          <w:p>
            <w:pPr>
              <w:spacing w:line="360" w:lineRule="auto"/>
              <w:jc w:val="center"/>
              <w:rPr>
                <w:rFonts w:ascii="仿宋_GB2312" w:hAnsi="仿宋_GB2312" w:eastAsia="仿宋_GB2312" w:cs="仿宋_GB2312"/>
                <w:sz w:val="24"/>
                <w:lang w:val="zh-CN"/>
              </w:rPr>
            </w:pPr>
          </w:p>
        </w:tc>
        <w:tc>
          <w:tcPr>
            <w:tcW w:w="1419" w:type="dxa"/>
            <w:vMerge w:val="continue"/>
            <w:vAlign w:val="center"/>
          </w:tcPr>
          <w:p>
            <w:pPr>
              <w:spacing w:line="360" w:lineRule="auto"/>
              <w:jc w:val="center"/>
              <w:rPr>
                <w:rFonts w:ascii="仿宋_GB2312" w:hAnsi="仿宋_GB2312" w:eastAsia="仿宋_GB2312" w:cs="仿宋_GB2312"/>
                <w:color w:val="000000"/>
                <w:sz w:val="24"/>
              </w:rPr>
            </w:pPr>
          </w:p>
        </w:tc>
        <w:tc>
          <w:tcPr>
            <w:tcW w:w="6298" w:type="dxa"/>
            <w:gridSpan w:val="2"/>
            <w:vAlign w:val="center"/>
          </w:tcPr>
          <w:p>
            <w:pPr>
              <w:pStyle w:val="7"/>
              <w:adjustRightInd/>
              <w:spacing w:line="360" w:lineRule="auto"/>
              <w:rPr>
                <w:rFonts w:ascii="仿宋_GB2312" w:hAnsi="仿宋_GB2312" w:eastAsia="仿宋_GB2312" w:cs="仿宋_GB2312"/>
              </w:rPr>
            </w:pPr>
            <w:r>
              <w:rPr>
                <w:rFonts w:hint="eastAsia" w:ascii="仿宋_GB2312" w:hAnsi="仿宋_GB2312" w:eastAsia="仿宋_GB2312" w:cs="仿宋_GB2312"/>
              </w:rPr>
              <w:t xml:space="preserve">c) 应明确相关管理制度发布流程。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continue"/>
            <w:vAlign w:val="center"/>
          </w:tcPr>
          <w:p>
            <w:pPr>
              <w:spacing w:line="360" w:lineRule="auto"/>
              <w:jc w:val="center"/>
              <w:rPr>
                <w:rFonts w:ascii="仿宋_GB2312" w:hAnsi="仿宋_GB2312" w:eastAsia="仿宋_GB2312" w:cs="仿宋_GB2312"/>
                <w:color w:val="000000"/>
                <w:sz w:val="24"/>
              </w:rPr>
            </w:pPr>
          </w:p>
        </w:tc>
        <w:tc>
          <w:tcPr>
            <w:tcW w:w="1419" w:type="dxa"/>
            <w:vMerge w:val="restart"/>
            <w:vAlign w:val="center"/>
          </w:tcPr>
          <w:p>
            <w:pPr>
              <w:spacing w:line="360"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人员管理</w:t>
            </w:r>
          </w:p>
        </w:tc>
        <w:tc>
          <w:tcPr>
            <w:tcW w:w="6298" w:type="dxa"/>
            <w:gridSpan w:val="2"/>
            <w:vAlign w:val="center"/>
          </w:tcPr>
          <w:p>
            <w:pPr>
              <w:pStyle w:val="7"/>
              <w:adjustRightInd/>
              <w:spacing w:line="360" w:lineRule="auto"/>
              <w:rPr>
                <w:rFonts w:ascii="仿宋_GB2312" w:hAnsi="仿宋_GB2312" w:eastAsia="仿宋_GB2312" w:cs="仿宋_GB2312"/>
              </w:rPr>
            </w:pPr>
            <w:r>
              <w:rPr>
                <w:rFonts w:hint="eastAsia" w:ascii="仿宋_GB2312" w:hAnsi="仿宋_GB2312" w:eastAsia="仿宋_GB2312" w:cs="仿宋_GB2312"/>
              </w:rPr>
              <w:t xml:space="preserve">a) 应了解并遵守密码相关法律法规；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continue"/>
            <w:vAlign w:val="center"/>
          </w:tcPr>
          <w:p>
            <w:pPr>
              <w:spacing w:line="360" w:lineRule="auto"/>
              <w:jc w:val="center"/>
              <w:rPr>
                <w:rFonts w:ascii="仿宋_GB2312" w:hAnsi="仿宋_GB2312" w:eastAsia="仿宋_GB2312" w:cs="仿宋_GB2312"/>
                <w:color w:val="000000"/>
                <w:sz w:val="24"/>
              </w:rPr>
            </w:pPr>
          </w:p>
        </w:tc>
        <w:tc>
          <w:tcPr>
            <w:tcW w:w="1419" w:type="dxa"/>
            <w:vMerge w:val="continue"/>
            <w:vAlign w:val="center"/>
          </w:tcPr>
          <w:p>
            <w:pPr>
              <w:spacing w:line="360" w:lineRule="auto"/>
              <w:jc w:val="center"/>
              <w:rPr>
                <w:rFonts w:ascii="仿宋_GB2312" w:hAnsi="仿宋_GB2312" w:eastAsia="仿宋_GB2312" w:cs="仿宋_GB2312"/>
                <w:color w:val="000000"/>
                <w:sz w:val="24"/>
              </w:rPr>
            </w:pPr>
          </w:p>
        </w:tc>
        <w:tc>
          <w:tcPr>
            <w:tcW w:w="6298" w:type="dxa"/>
            <w:gridSpan w:val="2"/>
            <w:vAlign w:val="center"/>
          </w:tcPr>
          <w:p>
            <w:pPr>
              <w:pStyle w:val="7"/>
              <w:adjustRightInd/>
              <w:spacing w:line="360" w:lineRule="auto"/>
              <w:rPr>
                <w:rFonts w:ascii="仿宋_GB2312" w:hAnsi="仿宋_GB2312" w:eastAsia="仿宋_GB2312" w:cs="仿宋_GB2312"/>
              </w:rPr>
            </w:pPr>
            <w:r>
              <w:rPr>
                <w:rFonts w:hint="eastAsia" w:ascii="仿宋_GB2312" w:hAnsi="仿宋_GB2312" w:eastAsia="仿宋_GB2312" w:cs="仿宋_GB2312"/>
              </w:rPr>
              <w:t xml:space="preserve">b) 应能够正确使用密码产品；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continue"/>
            <w:vAlign w:val="center"/>
          </w:tcPr>
          <w:p>
            <w:pPr>
              <w:spacing w:line="360" w:lineRule="auto"/>
              <w:jc w:val="center"/>
              <w:rPr>
                <w:rFonts w:ascii="仿宋_GB2312" w:hAnsi="仿宋_GB2312" w:eastAsia="仿宋_GB2312" w:cs="仿宋_GB2312"/>
                <w:color w:val="000000"/>
                <w:sz w:val="24"/>
              </w:rPr>
            </w:pPr>
          </w:p>
        </w:tc>
        <w:tc>
          <w:tcPr>
            <w:tcW w:w="1419" w:type="dxa"/>
            <w:vMerge w:val="continue"/>
            <w:vAlign w:val="center"/>
          </w:tcPr>
          <w:p>
            <w:pPr>
              <w:spacing w:line="360" w:lineRule="auto"/>
              <w:jc w:val="center"/>
              <w:rPr>
                <w:rFonts w:ascii="仿宋_GB2312" w:hAnsi="仿宋_GB2312" w:eastAsia="仿宋_GB2312" w:cs="仿宋_GB2312"/>
                <w:color w:val="000000"/>
                <w:sz w:val="24"/>
              </w:rPr>
            </w:pPr>
          </w:p>
        </w:tc>
        <w:tc>
          <w:tcPr>
            <w:tcW w:w="6298" w:type="dxa"/>
            <w:gridSpan w:val="2"/>
            <w:vAlign w:val="center"/>
          </w:tcPr>
          <w:p>
            <w:pPr>
              <w:spacing w:line="360" w:lineRule="auto"/>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c) 应根据相关密码管理政策、数据安全保密政策，结合组织实际情况，设置密钥管理人员、安全审计人员、密码操作人员等关键岗位；建立相应岗位责任制度，明确相关人员在安全系统中的职责和权限，对关键岗位建立多人共管机制；密钥管理、安全审计、密码操作人员职责，互相制约互相监督，相关设备与系统的管理和使用账号不得多人共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continue"/>
            <w:vAlign w:val="center"/>
          </w:tcPr>
          <w:p>
            <w:pPr>
              <w:spacing w:line="360" w:lineRule="auto"/>
              <w:jc w:val="center"/>
              <w:rPr>
                <w:rFonts w:ascii="仿宋_GB2312" w:hAnsi="仿宋_GB2312" w:eastAsia="仿宋_GB2312" w:cs="仿宋_GB2312"/>
                <w:color w:val="000000"/>
                <w:sz w:val="24"/>
              </w:rPr>
            </w:pPr>
          </w:p>
        </w:tc>
        <w:tc>
          <w:tcPr>
            <w:tcW w:w="1419" w:type="dxa"/>
            <w:vMerge w:val="continue"/>
            <w:vAlign w:val="center"/>
          </w:tcPr>
          <w:p>
            <w:pPr>
              <w:spacing w:line="360" w:lineRule="auto"/>
              <w:jc w:val="center"/>
              <w:rPr>
                <w:rFonts w:ascii="仿宋_GB2312" w:hAnsi="仿宋_GB2312" w:eastAsia="仿宋_GB2312" w:cs="仿宋_GB2312"/>
                <w:color w:val="000000"/>
                <w:sz w:val="24"/>
              </w:rPr>
            </w:pPr>
          </w:p>
        </w:tc>
        <w:tc>
          <w:tcPr>
            <w:tcW w:w="6298" w:type="dxa"/>
            <w:gridSpan w:val="2"/>
            <w:vAlign w:val="center"/>
          </w:tcPr>
          <w:p>
            <w:pPr>
              <w:spacing w:line="360" w:lineRule="auto"/>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d) 应建立人员考核制度，定期进行岗位人员考核，建立健全奖惩制度；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continue"/>
            <w:vAlign w:val="center"/>
          </w:tcPr>
          <w:p>
            <w:pPr>
              <w:spacing w:line="360" w:lineRule="auto"/>
              <w:jc w:val="center"/>
              <w:rPr>
                <w:rFonts w:ascii="仿宋_GB2312" w:hAnsi="仿宋_GB2312" w:eastAsia="仿宋_GB2312" w:cs="仿宋_GB2312"/>
                <w:color w:val="000000"/>
                <w:sz w:val="24"/>
              </w:rPr>
            </w:pPr>
          </w:p>
        </w:tc>
        <w:tc>
          <w:tcPr>
            <w:tcW w:w="1419" w:type="dxa"/>
            <w:vMerge w:val="continue"/>
            <w:vAlign w:val="center"/>
          </w:tcPr>
          <w:p>
            <w:pPr>
              <w:spacing w:line="360" w:lineRule="auto"/>
              <w:jc w:val="center"/>
              <w:rPr>
                <w:rFonts w:ascii="仿宋_GB2312" w:hAnsi="仿宋_GB2312" w:eastAsia="仿宋_GB2312" w:cs="仿宋_GB2312"/>
                <w:color w:val="000000"/>
                <w:sz w:val="24"/>
              </w:rPr>
            </w:pPr>
          </w:p>
        </w:tc>
        <w:tc>
          <w:tcPr>
            <w:tcW w:w="6298" w:type="dxa"/>
            <w:gridSpan w:val="2"/>
            <w:vAlign w:val="center"/>
          </w:tcPr>
          <w:p>
            <w:pPr>
              <w:pStyle w:val="7"/>
              <w:adjustRightInd/>
              <w:spacing w:line="360" w:lineRule="auto"/>
              <w:rPr>
                <w:rFonts w:ascii="仿宋_GB2312" w:hAnsi="仿宋_GB2312" w:eastAsia="仿宋_GB2312" w:cs="仿宋_GB2312"/>
              </w:rPr>
            </w:pPr>
            <w:r>
              <w:rPr>
                <w:rFonts w:hint="eastAsia" w:ascii="仿宋_GB2312" w:hAnsi="仿宋_GB2312" w:eastAsia="仿宋_GB2312" w:cs="仿宋_GB2312"/>
              </w:rPr>
              <w:t xml:space="preserve">e) 应建立人员培训制度，对于涉及密码的操作和管理以及密钥管理人员进行专门培训；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continue"/>
            <w:vAlign w:val="center"/>
          </w:tcPr>
          <w:p>
            <w:pPr>
              <w:spacing w:line="360" w:lineRule="auto"/>
              <w:jc w:val="center"/>
              <w:rPr>
                <w:rFonts w:ascii="仿宋_GB2312" w:hAnsi="仿宋_GB2312" w:eastAsia="仿宋_GB2312" w:cs="仿宋_GB2312"/>
                <w:color w:val="000000"/>
                <w:sz w:val="24"/>
              </w:rPr>
            </w:pPr>
          </w:p>
        </w:tc>
        <w:tc>
          <w:tcPr>
            <w:tcW w:w="1419" w:type="dxa"/>
            <w:vMerge w:val="continue"/>
            <w:vAlign w:val="center"/>
          </w:tcPr>
          <w:p>
            <w:pPr>
              <w:spacing w:line="360" w:lineRule="auto"/>
              <w:jc w:val="center"/>
              <w:rPr>
                <w:rFonts w:ascii="仿宋_GB2312" w:hAnsi="仿宋_GB2312" w:eastAsia="仿宋_GB2312" w:cs="仿宋_GB2312"/>
                <w:color w:val="000000"/>
                <w:sz w:val="24"/>
              </w:rPr>
            </w:pPr>
          </w:p>
        </w:tc>
        <w:tc>
          <w:tcPr>
            <w:tcW w:w="6298" w:type="dxa"/>
            <w:gridSpan w:val="2"/>
            <w:vAlign w:val="center"/>
          </w:tcPr>
          <w:p>
            <w:pPr>
              <w:pStyle w:val="7"/>
              <w:adjustRightInd/>
              <w:spacing w:line="360" w:lineRule="auto"/>
              <w:rPr>
                <w:rFonts w:ascii="仿宋_GB2312" w:hAnsi="仿宋_GB2312" w:eastAsia="仿宋_GB2312" w:cs="仿宋_GB2312"/>
              </w:rPr>
            </w:pPr>
            <w:r>
              <w:rPr>
                <w:rFonts w:hint="eastAsia" w:ascii="仿宋_GB2312" w:hAnsi="仿宋_GB2312" w:eastAsia="仿宋_GB2312" w:cs="仿宋_GB2312"/>
              </w:rPr>
              <w:t xml:space="preserve">f) 应建立关键岗位人员保密制度和调离制度，签订保密合同，承担保密义务。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continue"/>
            <w:vAlign w:val="center"/>
          </w:tcPr>
          <w:p>
            <w:pPr>
              <w:spacing w:line="360" w:lineRule="auto"/>
              <w:jc w:val="center"/>
              <w:rPr>
                <w:rFonts w:ascii="仿宋_GB2312" w:hAnsi="仿宋_GB2312" w:eastAsia="仿宋_GB2312" w:cs="仿宋_GB2312"/>
                <w:color w:val="000000"/>
                <w:sz w:val="24"/>
              </w:rPr>
            </w:pPr>
          </w:p>
        </w:tc>
        <w:tc>
          <w:tcPr>
            <w:tcW w:w="1419" w:type="dxa"/>
            <w:vMerge w:val="restart"/>
            <w:vAlign w:val="center"/>
          </w:tcPr>
          <w:p>
            <w:pPr>
              <w:spacing w:line="360"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实施管理</w:t>
            </w:r>
          </w:p>
        </w:tc>
        <w:tc>
          <w:tcPr>
            <w:tcW w:w="656" w:type="dxa"/>
            <w:vAlign w:val="center"/>
          </w:tcPr>
          <w:p>
            <w:pPr>
              <w:spacing w:line="360" w:lineRule="auto"/>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规划</w:t>
            </w:r>
          </w:p>
        </w:tc>
        <w:tc>
          <w:tcPr>
            <w:tcW w:w="5642" w:type="dxa"/>
            <w:vAlign w:val="center"/>
          </w:tcPr>
          <w:p>
            <w:pPr>
              <w:pStyle w:val="7"/>
              <w:adjustRightInd/>
              <w:spacing w:line="360" w:lineRule="auto"/>
              <w:rPr>
                <w:rFonts w:ascii="仿宋_GB2312" w:hAnsi="仿宋_GB2312" w:eastAsia="仿宋_GB2312" w:cs="仿宋_GB2312"/>
              </w:rPr>
            </w:pPr>
            <w:r>
              <w:rPr>
                <w:rFonts w:hint="eastAsia" w:ascii="仿宋_GB2312" w:hAnsi="仿宋_GB2312" w:eastAsia="仿宋_GB2312" w:cs="仿宋_GB2312"/>
              </w:rPr>
              <w:t>a)信息系统规划阶段，责任单位应依据密码相关标准，制定</w:t>
            </w:r>
            <w:r>
              <w:rPr>
                <w:rFonts w:hint="eastAsia" w:ascii="仿宋_GB2312" w:hAnsi="仿宋_GB2312" w:eastAsia="仿宋_GB2312" w:cs="仿宋_GB2312"/>
                <w:lang w:eastAsia="zh-CN"/>
              </w:rPr>
              <w:t>密码应用建设方案</w:t>
            </w:r>
            <w:r>
              <w:rPr>
                <w:rFonts w:hint="eastAsia" w:ascii="仿宋_GB2312" w:hAnsi="仿宋_GB2312" w:eastAsia="仿宋_GB2312" w:cs="仿宋_GB2312"/>
              </w:rPr>
              <w:t>，组织专家进行评审，评审意见作为项目规划立项的重要材料。通过专家审定后的方案应作为建设、验收和测评的重要依据。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continue"/>
            <w:vAlign w:val="center"/>
          </w:tcPr>
          <w:p>
            <w:pPr>
              <w:spacing w:line="360" w:lineRule="auto"/>
              <w:jc w:val="center"/>
              <w:rPr>
                <w:rFonts w:ascii="仿宋_GB2312" w:hAnsi="仿宋_GB2312" w:eastAsia="仿宋_GB2312" w:cs="仿宋_GB2312"/>
                <w:color w:val="000000"/>
                <w:sz w:val="24"/>
              </w:rPr>
            </w:pPr>
          </w:p>
        </w:tc>
        <w:tc>
          <w:tcPr>
            <w:tcW w:w="1419" w:type="dxa"/>
            <w:vMerge w:val="continue"/>
            <w:vAlign w:val="center"/>
          </w:tcPr>
          <w:p>
            <w:pPr>
              <w:spacing w:line="360" w:lineRule="auto"/>
              <w:jc w:val="center"/>
              <w:rPr>
                <w:rFonts w:ascii="仿宋_GB2312" w:hAnsi="仿宋_GB2312" w:eastAsia="仿宋_GB2312" w:cs="仿宋_GB2312"/>
                <w:color w:val="000000"/>
                <w:sz w:val="24"/>
              </w:rPr>
            </w:pPr>
          </w:p>
        </w:tc>
        <w:tc>
          <w:tcPr>
            <w:tcW w:w="656" w:type="dxa"/>
            <w:vMerge w:val="restart"/>
            <w:vAlign w:val="center"/>
          </w:tcPr>
          <w:p>
            <w:pPr>
              <w:spacing w:line="360" w:lineRule="auto"/>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建设</w:t>
            </w:r>
          </w:p>
        </w:tc>
        <w:tc>
          <w:tcPr>
            <w:tcW w:w="5642" w:type="dxa"/>
            <w:vAlign w:val="center"/>
          </w:tcPr>
          <w:p>
            <w:pPr>
              <w:spacing w:line="360" w:lineRule="auto"/>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a) 应按照国家相关标准，制定实施方案，方案内容应包括但不少于信息系统概述、安全需求分析、密码系统设计方案、密码产品清单（包括产品资质、功能及性能列表和产品生产单位等）、密码系统安全管理与维护策略、密码系统实施计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continue"/>
            <w:vAlign w:val="center"/>
          </w:tcPr>
          <w:p>
            <w:pPr>
              <w:spacing w:line="360" w:lineRule="auto"/>
              <w:jc w:val="center"/>
              <w:rPr>
                <w:rFonts w:ascii="仿宋_GB2312" w:hAnsi="仿宋_GB2312" w:eastAsia="仿宋_GB2312" w:cs="仿宋_GB2312"/>
                <w:color w:val="000000"/>
                <w:sz w:val="24"/>
              </w:rPr>
            </w:pPr>
          </w:p>
        </w:tc>
        <w:tc>
          <w:tcPr>
            <w:tcW w:w="1419" w:type="dxa"/>
            <w:vMerge w:val="continue"/>
            <w:vAlign w:val="center"/>
          </w:tcPr>
          <w:p>
            <w:pPr>
              <w:spacing w:line="360" w:lineRule="auto"/>
              <w:jc w:val="center"/>
              <w:rPr>
                <w:rFonts w:ascii="仿宋_GB2312" w:hAnsi="仿宋_GB2312" w:eastAsia="仿宋_GB2312" w:cs="仿宋_GB2312"/>
                <w:color w:val="000000"/>
                <w:sz w:val="24"/>
              </w:rPr>
            </w:pPr>
          </w:p>
        </w:tc>
        <w:tc>
          <w:tcPr>
            <w:tcW w:w="656" w:type="dxa"/>
            <w:vMerge w:val="continue"/>
            <w:vAlign w:val="center"/>
          </w:tcPr>
          <w:p>
            <w:pPr>
              <w:spacing w:line="360" w:lineRule="auto"/>
              <w:jc w:val="left"/>
              <w:rPr>
                <w:rFonts w:ascii="仿宋_GB2312" w:hAnsi="仿宋_GB2312" w:eastAsia="仿宋_GB2312" w:cs="仿宋_GB2312"/>
                <w:color w:val="000000"/>
                <w:sz w:val="24"/>
              </w:rPr>
            </w:pPr>
          </w:p>
        </w:tc>
        <w:tc>
          <w:tcPr>
            <w:tcW w:w="5642" w:type="dxa"/>
            <w:vAlign w:val="center"/>
          </w:tcPr>
          <w:p>
            <w:pPr>
              <w:spacing w:line="360" w:lineRule="auto"/>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b) 应选用的经国家密码管理部门核准的密码产品、许可的密码服务。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continue"/>
            <w:vAlign w:val="center"/>
          </w:tcPr>
          <w:p>
            <w:pPr>
              <w:spacing w:line="360" w:lineRule="auto"/>
              <w:jc w:val="center"/>
              <w:rPr>
                <w:rFonts w:ascii="仿宋_GB2312" w:hAnsi="仿宋_GB2312" w:eastAsia="仿宋_GB2312" w:cs="仿宋_GB2312"/>
                <w:color w:val="000000"/>
                <w:sz w:val="24"/>
              </w:rPr>
            </w:pPr>
          </w:p>
        </w:tc>
        <w:tc>
          <w:tcPr>
            <w:tcW w:w="1419" w:type="dxa"/>
            <w:vMerge w:val="continue"/>
            <w:vAlign w:val="center"/>
          </w:tcPr>
          <w:p>
            <w:pPr>
              <w:spacing w:line="360" w:lineRule="auto"/>
              <w:jc w:val="center"/>
              <w:rPr>
                <w:rFonts w:ascii="仿宋_GB2312" w:hAnsi="仿宋_GB2312" w:eastAsia="仿宋_GB2312" w:cs="仿宋_GB2312"/>
                <w:color w:val="000000"/>
                <w:sz w:val="24"/>
              </w:rPr>
            </w:pPr>
          </w:p>
        </w:tc>
        <w:tc>
          <w:tcPr>
            <w:tcW w:w="656" w:type="dxa"/>
            <w:vMerge w:val="restart"/>
            <w:vAlign w:val="center"/>
          </w:tcPr>
          <w:p>
            <w:pPr>
              <w:spacing w:line="360" w:lineRule="auto"/>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运行</w:t>
            </w:r>
          </w:p>
        </w:tc>
        <w:tc>
          <w:tcPr>
            <w:tcW w:w="5642" w:type="dxa"/>
            <w:vAlign w:val="center"/>
          </w:tcPr>
          <w:p>
            <w:pPr>
              <w:pStyle w:val="7"/>
              <w:adjustRightInd/>
              <w:spacing w:line="360" w:lineRule="auto"/>
              <w:rPr>
                <w:rFonts w:ascii="仿宋_GB2312" w:hAnsi="仿宋_GB2312" w:eastAsia="仿宋_GB2312" w:cs="仿宋_GB2312"/>
              </w:rPr>
            </w:pPr>
            <w:r>
              <w:rPr>
                <w:rFonts w:hint="eastAsia" w:ascii="仿宋_GB2312" w:hAnsi="仿宋_GB2312" w:eastAsia="仿宋_GB2312" w:cs="仿宋_GB2312"/>
              </w:rPr>
              <w:t>a) 信息系统投入运行前，应经密码测评机构进行安全性评估，评估通过方可投入正式运行；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continue"/>
            <w:vAlign w:val="center"/>
          </w:tcPr>
          <w:p>
            <w:pPr>
              <w:spacing w:line="360" w:lineRule="auto"/>
              <w:jc w:val="center"/>
              <w:rPr>
                <w:rFonts w:ascii="仿宋_GB2312" w:hAnsi="仿宋_GB2312" w:eastAsia="仿宋_GB2312" w:cs="仿宋_GB2312"/>
                <w:color w:val="000000"/>
                <w:sz w:val="24"/>
              </w:rPr>
            </w:pPr>
          </w:p>
        </w:tc>
        <w:tc>
          <w:tcPr>
            <w:tcW w:w="1419" w:type="dxa"/>
            <w:vMerge w:val="continue"/>
            <w:vAlign w:val="center"/>
          </w:tcPr>
          <w:p>
            <w:pPr>
              <w:spacing w:line="360" w:lineRule="auto"/>
              <w:jc w:val="center"/>
              <w:rPr>
                <w:rFonts w:ascii="仿宋_GB2312" w:hAnsi="仿宋_GB2312" w:eastAsia="仿宋_GB2312" w:cs="仿宋_GB2312"/>
                <w:color w:val="000000"/>
                <w:sz w:val="24"/>
              </w:rPr>
            </w:pPr>
          </w:p>
        </w:tc>
        <w:tc>
          <w:tcPr>
            <w:tcW w:w="656" w:type="dxa"/>
            <w:vMerge w:val="continue"/>
            <w:vAlign w:val="center"/>
          </w:tcPr>
          <w:p>
            <w:pPr>
              <w:spacing w:line="360" w:lineRule="auto"/>
              <w:jc w:val="left"/>
              <w:rPr>
                <w:rFonts w:ascii="仿宋_GB2312" w:hAnsi="仿宋_GB2312" w:eastAsia="仿宋_GB2312" w:cs="仿宋_GB2312"/>
                <w:color w:val="000000"/>
                <w:sz w:val="24"/>
              </w:rPr>
            </w:pPr>
          </w:p>
        </w:tc>
        <w:tc>
          <w:tcPr>
            <w:tcW w:w="5642" w:type="dxa"/>
            <w:vAlign w:val="center"/>
          </w:tcPr>
          <w:p>
            <w:pPr>
              <w:pStyle w:val="7"/>
              <w:adjustRightInd/>
              <w:spacing w:line="360" w:lineRule="auto"/>
              <w:rPr>
                <w:rFonts w:ascii="仿宋_GB2312" w:hAnsi="仿宋_GB2312" w:eastAsia="仿宋_GB2312" w:cs="仿宋_GB2312"/>
              </w:rPr>
            </w:pPr>
            <w:r>
              <w:rPr>
                <w:rFonts w:hint="eastAsia" w:ascii="仿宋_GB2312" w:hAnsi="仿宋_GB2312" w:eastAsia="仿宋_GB2312" w:cs="仿宋_GB2312"/>
              </w:rPr>
              <w:t>b) 信息系统投入运行后，责任单位每年应委托密码测评机构开展密码应用安全性评估，并根据评估意见进行整改；有重大安全隐患的，应停止系统运行，制定整改方案，整改完成并通过评估后方可投入运行。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continue"/>
            <w:vAlign w:val="center"/>
          </w:tcPr>
          <w:p>
            <w:pPr>
              <w:spacing w:line="360" w:lineRule="auto"/>
              <w:jc w:val="center"/>
              <w:rPr>
                <w:rFonts w:ascii="仿宋_GB2312" w:hAnsi="仿宋_GB2312" w:eastAsia="仿宋_GB2312" w:cs="仿宋_GB2312"/>
                <w:color w:val="000000"/>
                <w:sz w:val="24"/>
              </w:rPr>
            </w:pPr>
          </w:p>
        </w:tc>
        <w:tc>
          <w:tcPr>
            <w:tcW w:w="1419" w:type="dxa"/>
            <w:vMerge w:val="restart"/>
            <w:vAlign w:val="center"/>
          </w:tcPr>
          <w:p>
            <w:pPr>
              <w:spacing w:line="360"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应急管理</w:t>
            </w:r>
          </w:p>
        </w:tc>
        <w:tc>
          <w:tcPr>
            <w:tcW w:w="6298" w:type="dxa"/>
            <w:gridSpan w:val="2"/>
            <w:vAlign w:val="center"/>
          </w:tcPr>
          <w:p>
            <w:pPr>
              <w:pStyle w:val="7"/>
              <w:adjustRightInd/>
              <w:spacing w:line="360" w:lineRule="auto"/>
              <w:rPr>
                <w:rFonts w:ascii="仿宋_GB2312" w:hAnsi="仿宋_GB2312" w:eastAsia="仿宋_GB2312" w:cs="仿宋_GB2312"/>
              </w:rPr>
            </w:pPr>
            <w:r>
              <w:rPr>
                <w:rFonts w:hint="eastAsia" w:ascii="仿宋_GB2312" w:hAnsi="仿宋_GB2312" w:eastAsia="仿宋_GB2312" w:cs="仿宋_GB2312"/>
              </w:rPr>
              <w:t xml:space="preserve">a) 制定应急预案，做好应急资源准备，当事件发生时，按照应急预案结合实际情况及时处置；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continue"/>
            <w:vAlign w:val="center"/>
          </w:tcPr>
          <w:p>
            <w:pPr>
              <w:spacing w:line="360" w:lineRule="auto"/>
              <w:jc w:val="center"/>
              <w:rPr>
                <w:rFonts w:ascii="仿宋_GB2312" w:hAnsi="仿宋_GB2312" w:eastAsia="仿宋_GB2312" w:cs="仿宋_GB2312"/>
                <w:color w:val="000000"/>
                <w:sz w:val="24"/>
              </w:rPr>
            </w:pPr>
          </w:p>
        </w:tc>
        <w:tc>
          <w:tcPr>
            <w:tcW w:w="1419" w:type="dxa"/>
            <w:vMerge w:val="continue"/>
            <w:vAlign w:val="center"/>
          </w:tcPr>
          <w:p>
            <w:pPr>
              <w:spacing w:line="360" w:lineRule="auto"/>
              <w:jc w:val="center"/>
              <w:rPr>
                <w:rFonts w:ascii="仿宋_GB2312" w:hAnsi="仿宋_GB2312" w:eastAsia="仿宋_GB2312" w:cs="仿宋_GB2312"/>
                <w:color w:val="000000"/>
                <w:sz w:val="24"/>
              </w:rPr>
            </w:pPr>
          </w:p>
        </w:tc>
        <w:tc>
          <w:tcPr>
            <w:tcW w:w="6298" w:type="dxa"/>
            <w:gridSpan w:val="2"/>
            <w:vAlign w:val="center"/>
          </w:tcPr>
          <w:p>
            <w:pPr>
              <w:pStyle w:val="7"/>
              <w:adjustRightInd/>
              <w:spacing w:line="360" w:lineRule="auto"/>
              <w:rPr>
                <w:rFonts w:ascii="仿宋_GB2312" w:hAnsi="仿宋_GB2312" w:eastAsia="仿宋_GB2312" w:cs="仿宋_GB2312"/>
              </w:rPr>
            </w:pPr>
            <w:r>
              <w:rPr>
                <w:rFonts w:hint="eastAsia" w:ascii="仿宋_GB2312" w:hAnsi="仿宋_GB2312" w:eastAsia="仿宋_GB2312" w:cs="仿宋_GB2312"/>
              </w:rPr>
              <w:t>b) 事件发生后，应及时向信息系统的上级主管部门进行报告；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9" w:type="dxa"/>
            <w:vMerge w:val="continue"/>
            <w:vAlign w:val="center"/>
          </w:tcPr>
          <w:p>
            <w:pPr>
              <w:spacing w:line="360" w:lineRule="auto"/>
              <w:jc w:val="center"/>
              <w:rPr>
                <w:rFonts w:ascii="仿宋_GB2312" w:hAnsi="仿宋_GB2312" w:eastAsia="仿宋_GB2312" w:cs="仿宋_GB2312"/>
                <w:color w:val="000000"/>
                <w:sz w:val="24"/>
              </w:rPr>
            </w:pPr>
          </w:p>
        </w:tc>
        <w:tc>
          <w:tcPr>
            <w:tcW w:w="1419" w:type="dxa"/>
            <w:vMerge w:val="continue"/>
            <w:vAlign w:val="center"/>
          </w:tcPr>
          <w:p>
            <w:pPr>
              <w:spacing w:line="360" w:lineRule="auto"/>
              <w:jc w:val="center"/>
              <w:rPr>
                <w:rFonts w:ascii="仿宋_GB2312" w:hAnsi="仿宋_GB2312" w:eastAsia="仿宋_GB2312" w:cs="仿宋_GB2312"/>
                <w:color w:val="000000"/>
                <w:sz w:val="24"/>
              </w:rPr>
            </w:pPr>
          </w:p>
        </w:tc>
        <w:tc>
          <w:tcPr>
            <w:tcW w:w="6298" w:type="dxa"/>
            <w:gridSpan w:val="2"/>
            <w:vAlign w:val="center"/>
          </w:tcPr>
          <w:p>
            <w:pPr>
              <w:pStyle w:val="7"/>
              <w:adjustRightInd/>
              <w:spacing w:line="360" w:lineRule="auto"/>
              <w:rPr>
                <w:rFonts w:ascii="仿宋_GB2312" w:hAnsi="仿宋_GB2312" w:eastAsia="仿宋_GB2312" w:cs="仿宋_GB2312"/>
              </w:rPr>
            </w:pPr>
            <w:r>
              <w:rPr>
                <w:rFonts w:hint="eastAsia" w:ascii="仿宋_GB2312" w:hAnsi="仿宋_GB2312" w:eastAsia="仿宋_GB2312" w:cs="仿宋_GB2312"/>
              </w:rPr>
              <w:t>c) 事件处置完成后，应及时向同级的密码主管部门报告事件发生情况及处置情况。</w:t>
            </w:r>
          </w:p>
        </w:tc>
      </w:tr>
    </w:tbl>
    <w:p>
      <w:pPr>
        <w:pStyle w:val="6"/>
        <w:widowControl/>
        <w:numPr>
          <w:ilvl w:val="0"/>
          <w:numId w:val="1"/>
        </w:numPr>
        <w:ind w:firstLineChars="0"/>
        <w:jc w:val="left"/>
        <w:outlineLvl w:val="1"/>
        <w:rPr>
          <w:rFonts w:ascii="黑体" w:hAnsi="黑体" w:eastAsia="黑体" w:cs="黑体"/>
          <w:b/>
          <w:sz w:val="28"/>
          <w:szCs w:val="28"/>
        </w:rPr>
      </w:pPr>
      <w:bookmarkStart w:id="4" w:name="_Toc46351585"/>
      <w:r>
        <w:rPr>
          <w:rFonts w:hint="eastAsia" w:ascii="黑体" w:hAnsi="黑体" w:eastAsia="黑体" w:cs="黑体"/>
          <w:b/>
          <w:sz w:val="28"/>
          <w:szCs w:val="28"/>
        </w:rPr>
        <w:t>服务人员要求</w:t>
      </w:r>
      <w:bookmarkEnd w:id="4"/>
    </w:p>
    <w:p>
      <w:pPr>
        <w:widowControl/>
        <w:ind w:firstLine="565" w:firstLineChars="202"/>
        <w:jc w:val="left"/>
        <w:rPr>
          <w:rFonts w:ascii="宋体" w:hAnsi="宋体" w:cs="宋体"/>
          <w:kern w:val="0"/>
          <w:sz w:val="28"/>
          <w:szCs w:val="28"/>
        </w:rPr>
      </w:pPr>
      <w:r>
        <w:rPr>
          <w:rFonts w:hint="eastAsia" w:ascii="宋体" w:hAnsi="宋体" w:cs="宋体"/>
          <w:kern w:val="0"/>
          <w:sz w:val="28"/>
          <w:szCs w:val="28"/>
        </w:rPr>
        <w:t>在项目负责人员方面，应设立一名专职负责的项目经理，在服务期内，项目经理应根据项目需要到指定现场处理问题或交流情况。测评团队人员须具备所从事测评的专业技术和类似工作经验，并需具有</w:t>
      </w:r>
      <w:r>
        <w:rPr>
          <w:rFonts w:ascii="宋体" w:hAnsi="宋体" w:cs="宋体"/>
          <w:bCs/>
          <w:kern w:val="0"/>
          <w:sz w:val="28"/>
          <w:szCs w:val="28"/>
        </w:rPr>
        <w:t>通过国家密码管理局商用密码检测中心或国家商用密码应用安全性评估人员测评能力考核小组组织的商用密码应用安全性评估人员测评能力考核（分数在60分以上）</w:t>
      </w:r>
      <w:r>
        <w:rPr>
          <w:rFonts w:hint="eastAsia" w:ascii="宋体" w:hAnsi="宋体" w:cs="宋体"/>
          <w:kern w:val="0"/>
          <w:sz w:val="28"/>
          <w:szCs w:val="28"/>
        </w:rPr>
        <w:t>。</w:t>
      </w:r>
    </w:p>
    <w:p>
      <w:pPr>
        <w:widowControl/>
        <w:ind w:firstLine="565" w:firstLineChars="202"/>
        <w:jc w:val="left"/>
        <w:rPr>
          <w:rFonts w:ascii="宋体" w:hAnsi="宋体" w:cs="宋体"/>
          <w:kern w:val="0"/>
          <w:sz w:val="28"/>
          <w:szCs w:val="28"/>
        </w:rPr>
      </w:pPr>
      <w:r>
        <w:rPr>
          <w:rFonts w:hint="eastAsia" w:ascii="宋体" w:hAnsi="宋体" w:cs="宋体"/>
          <w:kern w:val="0"/>
          <w:sz w:val="28"/>
          <w:szCs w:val="28"/>
        </w:rPr>
        <w:t>投标人须书面承诺，如在项目实际执行过程中发生服务团队人员不能按采购文件要求胜任相关工作的，采购人有权要求更换，投标人须在两周内调整为符合采购文件要求且能胜任相关工作的人员并到位开展工作，否则采购人有权终止合同并报相关管理部门进行处理。 服务商应指派固定的团队为本项目提供专业服务，整个团队成员不得少于</w:t>
      </w:r>
      <w:r>
        <w:rPr>
          <w:rFonts w:hint="eastAsia" w:ascii="宋体" w:hAnsi="宋体" w:cs="宋体"/>
          <w:kern w:val="0"/>
          <w:sz w:val="28"/>
          <w:szCs w:val="28"/>
          <w:u w:val="single"/>
        </w:rPr>
        <w:t xml:space="preserve"> </w:t>
      </w:r>
      <w:r>
        <w:rPr>
          <w:rFonts w:ascii="宋体" w:hAnsi="宋体" w:cs="宋体"/>
          <w:kern w:val="0"/>
          <w:sz w:val="28"/>
          <w:szCs w:val="28"/>
          <w:u w:val="single"/>
        </w:rPr>
        <w:t>12</w:t>
      </w:r>
      <w:r>
        <w:rPr>
          <w:rFonts w:hint="eastAsia" w:ascii="宋体" w:hAnsi="宋体" w:cs="宋体"/>
          <w:kern w:val="0"/>
          <w:sz w:val="28"/>
          <w:szCs w:val="28"/>
          <w:u w:val="single"/>
        </w:rPr>
        <w:t xml:space="preserve"> </w:t>
      </w:r>
      <w:r>
        <w:rPr>
          <w:rFonts w:hint="eastAsia" w:ascii="宋体" w:hAnsi="宋体" w:cs="宋体"/>
          <w:kern w:val="0"/>
          <w:sz w:val="28"/>
          <w:szCs w:val="28"/>
        </w:rPr>
        <w:t xml:space="preserve">人。 如须调整服务团队人员，须书面向采购人提出申请，说明申请理由，经采购人书面同意方可调整团队人员，调入人员的资历和从业经验不低于调出人员，否则视为违约行为，采购人有权终止服务合同。 应提供以上人员相关证明资料复印件并加盖公章，并提供以上人员在本公司任职的有效外部证明材料（如加盖政府有关部门印章的《投保单》或《社会保险参保人员证明》，或单位代缴个人所得税税单等）复印件。 </w:t>
      </w:r>
    </w:p>
    <w:p>
      <w:pPr>
        <w:pStyle w:val="6"/>
        <w:widowControl/>
        <w:numPr>
          <w:ilvl w:val="0"/>
          <w:numId w:val="1"/>
        </w:numPr>
        <w:ind w:firstLineChars="0"/>
        <w:jc w:val="left"/>
        <w:outlineLvl w:val="1"/>
        <w:rPr>
          <w:rFonts w:ascii="黑体" w:hAnsi="黑体" w:eastAsia="黑体" w:cs="黑体"/>
          <w:b/>
          <w:sz w:val="28"/>
          <w:szCs w:val="28"/>
        </w:rPr>
      </w:pPr>
      <w:bookmarkStart w:id="5" w:name="_Toc46351586"/>
      <w:r>
        <w:rPr>
          <w:rFonts w:hint="eastAsia" w:ascii="黑体" w:hAnsi="黑体" w:eastAsia="黑体" w:cs="黑体"/>
          <w:b/>
          <w:sz w:val="28"/>
          <w:szCs w:val="28"/>
        </w:rPr>
        <w:t>文档管理要求</w:t>
      </w:r>
      <w:bookmarkEnd w:id="5"/>
    </w:p>
    <w:p>
      <w:pPr>
        <w:widowControl/>
        <w:ind w:firstLine="565" w:firstLineChars="202"/>
        <w:jc w:val="left"/>
        <w:rPr>
          <w:rFonts w:ascii="宋体" w:hAnsi="宋体" w:cs="宋体"/>
          <w:kern w:val="0"/>
          <w:sz w:val="28"/>
          <w:szCs w:val="28"/>
        </w:rPr>
      </w:pPr>
      <w:r>
        <w:rPr>
          <w:rFonts w:hint="eastAsia" w:ascii="宋体" w:hAnsi="宋体" w:cs="宋体"/>
          <w:kern w:val="0"/>
          <w:sz w:val="28"/>
          <w:szCs w:val="28"/>
        </w:rPr>
        <w:t>中标人应在项目完成时，将本项目所有成果文件汇集成册交付给采购人，所有文件要求用中文书写或有完整的中文注释。验收后，中标人按国家、省以及采购人档案管理要求，向采购人提供装订成册的纸质文档至少</w:t>
      </w:r>
      <w:r>
        <w:rPr>
          <w:rFonts w:hint="eastAsia" w:ascii="宋体" w:hAnsi="宋体" w:cs="宋体"/>
          <w:kern w:val="0"/>
          <w:sz w:val="28"/>
          <w:szCs w:val="28"/>
          <w:u w:val="single"/>
        </w:rPr>
        <w:t xml:space="preserve">  1</w:t>
      </w:r>
      <w:r>
        <w:rPr>
          <w:rFonts w:hint="eastAsia" w:ascii="宋体" w:hAnsi="宋体" w:cs="宋体"/>
          <w:kern w:val="0"/>
          <w:sz w:val="28"/>
          <w:szCs w:val="28"/>
        </w:rPr>
        <w:t>套。</w:t>
      </w:r>
    </w:p>
    <w:p>
      <w:pPr>
        <w:pStyle w:val="6"/>
        <w:widowControl/>
        <w:numPr>
          <w:ilvl w:val="0"/>
          <w:numId w:val="1"/>
        </w:numPr>
        <w:ind w:firstLineChars="0"/>
        <w:jc w:val="left"/>
        <w:outlineLvl w:val="1"/>
        <w:rPr>
          <w:rFonts w:ascii="黑体" w:hAnsi="黑体" w:eastAsia="黑体" w:cs="黑体"/>
          <w:b/>
          <w:sz w:val="28"/>
          <w:szCs w:val="28"/>
        </w:rPr>
      </w:pPr>
      <w:bookmarkStart w:id="6" w:name="_Toc46351587"/>
      <w:r>
        <w:rPr>
          <w:rFonts w:hint="eastAsia" w:ascii="黑体" w:hAnsi="黑体" w:eastAsia="黑体" w:cs="黑体"/>
          <w:b/>
          <w:sz w:val="28"/>
          <w:szCs w:val="28"/>
        </w:rPr>
        <w:t>验收标准要求</w:t>
      </w:r>
      <w:bookmarkEnd w:id="6"/>
    </w:p>
    <w:p>
      <w:pPr>
        <w:widowControl/>
        <w:ind w:firstLine="565" w:firstLineChars="202"/>
        <w:jc w:val="left"/>
        <w:rPr>
          <w:rFonts w:ascii="宋体" w:hAnsi="宋体" w:cs="宋体"/>
          <w:kern w:val="0"/>
          <w:sz w:val="28"/>
          <w:szCs w:val="28"/>
        </w:rPr>
      </w:pPr>
      <w:r>
        <w:rPr>
          <w:rFonts w:hint="eastAsia" w:ascii="宋体" w:hAnsi="宋体" w:cs="宋体"/>
          <w:kern w:val="0"/>
          <w:sz w:val="28"/>
          <w:szCs w:val="28"/>
        </w:rPr>
        <w:t xml:space="preserve">中标人应根据整体工作计划要求，包含但不限于以下要求： </w:t>
      </w:r>
    </w:p>
    <w:p>
      <w:pPr>
        <w:widowControl/>
        <w:ind w:firstLine="565" w:firstLineChars="202"/>
        <w:jc w:val="left"/>
        <w:rPr>
          <w:rFonts w:ascii="宋体" w:hAnsi="宋体" w:cs="宋体"/>
          <w:kern w:val="0"/>
          <w:sz w:val="28"/>
          <w:szCs w:val="28"/>
        </w:rPr>
      </w:pPr>
      <w:r>
        <w:rPr>
          <w:rFonts w:hint="eastAsia" w:ascii="宋体" w:hAnsi="宋体" w:cs="宋体"/>
          <w:kern w:val="0"/>
          <w:sz w:val="28"/>
          <w:szCs w:val="28"/>
        </w:rPr>
        <w:t xml:space="preserve">（1）完成所有评估工作。 </w:t>
      </w:r>
    </w:p>
    <w:p>
      <w:pPr>
        <w:widowControl/>
        <w:ind w:firstLine="565" w:firstLineChars="202"/>
        <w:jc w:val="left"/>
        <w:rPr>
          <w:rFonts w:ascii="宋体" w:hAnsi="宋体" w:cs="宋体"/>
          <w:kern w:val="0"/>
          <w:sz w:val="28"/>
          <w:szCs w:val="28"/>
        </w:rPr>
      </w:pPr>
      <w:r>
        <w:rPr>
          <w:rFonts w:hint="eastAsia" w:ascii="宋体" w:hAnsi="宋体" w:cs="宋体"/>
          <w:kern w:val="0"/>
          <w:sz w:val="28"/>
          <w:szCs w:val="28"/>
        </w:rPr>
        <w:t xml:space="preserve">（2）项目交付物齐全，符合项目要求及有关标准的规定。 </w:t>
      </w:r>
    </w:p>
    <w:p>
      <w:pPr>
        <w:widowControl/>
        <w:ind w:firstLine="565" w:firstLineChars="202"/>
        <w:jc w:val="left"/>
        <w:rPr>
          <w:rFonts w:hint="eastAsia" w:ascii="宋体" w:hAnsi="宋体" w:cs="宋体"/>
          <w:kern w:val="0"/>
          <w:sz w:val="28"/>
          <w:szCs w:val="28"/>
        </w:rPr>
      </w:pPr>
      <w:r>
        <w:rPr>
          <w:rFonts w:hint="eastAsia" w:ascii="宋体" w:hAnsi="宋体" w:cs="宋体"/>
          <w:kern w:val="0"/>
          <w:sz w:val="28"/>
          <w:szCs w:val="28"/>
        </w:rPr>
        <w:t xml:space="preserve">（3）评估报告详实、客观、有法律效力，为信息系统立项和验收提供准确指导，使系统达到立项和验收要求。 </w:t>
      </w:r>
    </w:p>
    <w:p>
      <w:pPr>
        <w:widowControl/>
        <w:ind w:firstLine="565" w:firstLineChars="202"/>
        <w:jc w:val="left"/>
        <w:rPr>
          <w:rFonts w:hint="eastAsia" w:ascii="宋体" w:hAnsi="宋体" w:cs="宋体"/>
          <w:kern w:val="0"/>
          <w:sz w:val="28"/>
          <w:szCs w:val="28"/>
        </w:rPr>
      </w:pPr>
      <w:r>
        <w:rPr>
          <w:rFonts w:hint="eastAsia" w:ascii="宋体" w:hAnsi="宋体" w:cs="宋体"/>
          <w:kern w:val="0"/>
          <w:sz w:val="28"/>
          <w:szCs w:val="28"/>
        </w:rPr>
        <w:t xml:space="preserve"> （4）所编制商用</w:t>
      </w:r>
      <w:r>
        <w:rPr>
          <w:rFonts w:hint="eastAsia" w:ascii="宋体" w:hAnsi="宋体" w:cs="宋体"/>
          <w:kern w:val="0"/>
          <w:sz w:val="28"/>
          <w:szCs w:val="28"/>
          <w:lang w:eastAsia="zh-CN"/>
        </w:rPr>
        <w:t>密码应用建设方案</w:t>
      </w:r>
      <w:r>
        <w:rPr>
          <w:rFonts w:hint="eastAsia" w:ascii="宋体" w:hAnsi="宋体" w:cs="宋体"/>
          <w:kern w:val="0"/>
          <w:sz w:val="28"/>
          <w:szCs w:val="28"/>
        </w:rPr>
        <w:t>评估报告需通过省密码管理局审批备案。</w:t>
      </w:r>
    </w:p>
    <w:p>
      <w:pPr>
        <w:pStyle w:val="6"/>
        <w:widowControl/>
        <w:numPr>
          <w:ilvl w:val="0"/>
          <w:numId w:val="1"/>
        </w:numPr>
        <w:ind w:firstLineChars="0"/>
        <w:jc w:val="left"/>
        <w:outlineLvl w:val="1"/>
        <w:rPr>
          <w:rFonts w:ascii="黑体" w:hAnsi="黑体" w:eastAsia="黑体" w:cs="黑体"/>
          <w:b/>
          <w:sz w:val="28"/>
          <w:szCs w:val="28"/>
        </w:rPr>
      </w:pPr>
      <w:bookmarkStart w:id="7" w:name="_Toc46351588"/>
      <w:r>
        <w:rPr>
          <w:rFonts w:hint="eastAsia" w:ascii="黑体" w:hAnsi="黑体" w:eastAsia="黑体" w:cs="黑体"/>
          <w:b/>
          <w:sz w:val="28"/>
          <w:szCs w:val="28"/>
        </w:rPr>
        <w:t>服务响应要求</w:t>
      </w:r>
      <w:bookmarkEnd w:id="7"/>
    </w:p>
    <w:p>
      <w:pPr>
        <w:widowControl/>
        <w:ind w:firstLine="565" w:firstLineChars="202"/>
        <w:jc w:val="left"/>
        <w:rPr>
          <w:rFonts w:ascii="宋体" w:hAnsi="宋体" w:cs="宋体"/>
          <w:kern w:val="0"/>
          <w:sz w:val="28"/>
          <w:szCs w:val="28"/>
        </w:rPr>
      </w:pPr>
      <w:r>
        <w:rPr>
          <w:rFonts w:hint="eastAsia" w:ascii="宋体" w:hAnsi="宋体" w:cs="宋体"/>
          <w:kern w:val="0"/>
          <w:sz w:val="28"/>
          <w:szCs w:val="28"/>
        </w:rPr>
        <w:t xml:space="preserve">项目服务响应要求如下： </w:t>
      </w:r>
    </w:p>
    <w:p>
      <w:pPr>
        <w:widowControl/>
        <w:ind w:firstLine="565" w:firstLineChars="202"/>
        <w:jc w:val="left"/>
        <w:rPr>
          <w:rFonts w:ascii="宋体" w:hAnsi="宋体" w:cs="宋体"/>
          <w:kern w:val="0"/>
          <w:sz w:val="28"/>
          <w:szCs w:val="28"/>
        </w:rPr>
      </w:pPr>
      <w:r>
        <w:rPr>
          <w:rFonts w:hint="eastAsia" w:ascii="宋体" w:hAnsi="宋体" w:cs="宋体"/>
          <w:kern w:val="0"/>
          <w:sz w:val="28"/>
          <w:szCs w:val="28"/>
        </w:rPr>
        <w:t xml:space="preserve">（1）7*24 电话支持：提供 7*24 的技术支持电话服务，由专职技术工程师负责解答相关技术问题并给出解决方法。 </w:t>
      </w:r>
    </w:p>
    <w:p>
      <w:pPr>
        <w:widowControl/>
        <w:ind w:firstLine="565" w:firstLineChars="202"/>
        <w:jc w:val="left"/>
        <w:rPr>
          <w:rFonts w:ascii="宋体" w:hAnsi="宋体" w:cs="宋体"/>
          <w:kern w:val="0"/>
          <w:sz w:val="28"/>
          <w:szCs w:val="28"/>
        </w:rPr>
      </w:pPr>
      <w:r>
        <w:rPr>
          <w:rFonts w:hint="eastAsia" w:ascii="宋体" w:hAnsi="宋体" w:cs="宋体"/>
          <w:kern w:val="0"/>
          <w:sz w:val="28"/>
          <w:szCs w:val="28"/>
        </w:rPr>
        <w:t>（</w:t>
      </w:r>
      <w:r>
        <w:rPr>
          <w:rFonts w:ascii="宋体" w:hAnsi="宋体" w:cs="宋体"/>
          <w:kern w:val="0"/>
          <w:sz w:val="28"/>
          <w:szCs w:val="28"/>
        </w:rPr>
        <w:t>2</w:t>
      </w:r>
      <w:r>
        <w:rPr>
          <w:rFonts w:hint="eastAsia" w:ascii="宋体" w:hAnsi="宋体" w:cs="宋体"/>
          <w:kern w:val="0"/>
          <w:sz w:val="28"/>
          <w:szCs w:val="28"/>
        </w:rPr>
        <w:t>）如果技术支持服务电话或远程支持服务解决不了的问题，技术支持服务人员可以在</w:t>
      </w:r>
      <w:r>
        <w:rPr>
          <w:rFonts w:ascii="宋体" w:hAnsi="宋体" w:cs="宋体"/>
          <w:kern w:val="0"/>
          <w:sz w:val="28"/>
          <w:szCs w:val="28"/>
        </w:rPr>
        <w:t>8</w:t>
      </w:r>
      <w:r>
        <w:rPr>
          <w:rFonts w:hint="eastAsia" w:ascii="宋体" w:hAnsi="宋体" w:cs="宋体"/>
          <w:kern w:val="0"/>
          <w:sz w:val="28"/>
          <w:szCs w:val="28"/>
        </w:rPr>
        <w:t xml:space="preserve">小时内到达客户现场提供技术支持，24 小时内处理完问题；重大问题 48 小时内处理完。 </w:t>
      </w:r>
    </w:p>
    <w:p>
      <w:pPr>
        <w:pStyle w:val="6"/>
        <w:widowControl/>
        <w:numPr>
          <w:ilvl w:val="0"/>
          <w:numId w:val="1"/>
        </w:numPr>
        <w:ind w:firstLineChars="0"/>
        <w:jc w:val="left"/>
        <w:outlineLvl w:val="1"/>
        <w:rPr>
          <w:rFonts w:ascii="黑体" w:hAnsi="黑体" w:eastAsia="黑体" w:cs="黑体"/>
          <w:b/>
          <w:sz w:val="28"/>
          <w:szCs w:val="28"/>
        </w:rPr>
      </w:pPr>
      <w:bookmarkStart w:id="8" w:name="_Toc46351589"/>
      <w:r>
        <w:rPr>
          <w:rFonts w:hint="eastAsia" w:ascii="黑体" w:hAnsi="黑体" w:eastAsia="黑体" w:cs="黑体"/>
          <w:b/>
          <w:sz w:val="28"/>
          <w:szCs w:val="28"/>
        </w:rPr>
        <w:t>资产权属</w:t>
      </w:r>
      <w:bookmarkEnd w:id="8"/>
    </w:p>
    <w:p>
      <w:pPr>
        <w:widowControl/>
        <w:ind w:firstLine="565" w:firstLineChars="202"/>
        <w:jc w:val="left"/>
        <w:rPr>
          <w:rFonts w:ascii="宋体" w:hAnsi="宋体" w:cs="宋体"/>
          <w:kern w:val="0"/>
          <w:sz w:val="28"/>
          <w:szCs w:val="28"/>
        </w:rPr>
      </w:pPr>
      <w:r>
        <w:rPr>
          <w:rFonts w:hint="eastAsia" w:ascii="宋体" w:hAnsi="宋体" w:cs="宋体"/>
          <w:kern w:val="0"/>
          <w:sz w:val="28"/>
          <w:szCs w:val="28"/>
        </w:rPr>
        <w:t xml:space="preserve">投标人为实施项目提供的所有资料及工作成果归采购人所有。 </w:t>
      </w:r>
    </w:p>
    <w:p>
      <w:pPr>
        <w:pStyle w:val="6"/>
        <w:widowControl/>
        <w:numPr>
          <w:ilvl w:val="0"/>
          <w:numId w:val="1"/>
        </w:numPr>
        <w:ind w:firstLineChars="0"/>
        <w:jc w:val="left"/>
        <w:outlineLvl w:val="1"/>
        <w:rPr>
          <w:rFonts w:ascii="黑体" w:hAnsi="黑体" w:eastAsia="黑体" w:cs="黑体"/>
          <w:b/>
          <w:sz w:val="28"/>
          <w:szCs w:val="28"/>
        </w:rPr>
      </w:pPr>
      <w:bookmarkStart w:id="9" w:name="_Toc46351590"/>
      <w:r>
        <w:rPr>
          <w:rFonts w:hint="eastAsia" w:ascii="黑体" w:hAnsi="黑体" w:eastAsia="黑体" w:cs="黑体"/>
          <w:b/>
          <w:sz w:val="28"/>
          <w:szCs w:val="28"/>
        </w:rPr>
        <w:t>保密要求</w:t>
      </w:r>
      <w:bookmarkEnd w:id="9"/>
    </w:p>
    <w:p>
      <w:pPr>
        <w:widowControl/>
        <w:ind w:firstLine="565" w:firstLineChars="202"/>
        <w:jc w:val="left"/>
        <w:rPr>
          <w:rFonts w:ascii="宋体" w:hAnsi="宋体" w:cs="宋体"/>
          <w:kern w:val="0"/>
          <w:sz w:val="28"/>
          <w:szCs w:val="28"/>
        </w:rPr>
      </w:pPr>
      <w:r>
        <w:rPr>
          <w:rFonts w:hint="eastAsia" w:ascii="宋体" w:hAnsi="宋体" w:cs="宋体"/>
          <w:kern w:val="0"/>
          <w:sz w:val="28"/>
          <w:szCs w:val="28"/>
        </w:rPr>
        <w:t xml:space="preserve">中标人应同意： </w:t>
      </w:r>
    </w:p>
    <w:p>
      <w:pPr>
        <w:widowControl/>
        <w:ind w:firstLine="565" w:firstLineChars="202"/>
        <w:jc w:val="left"/>
        <w:rPr>
          <w:rFonts w:ascii="宋体" w:hAnsi="宋体" w:cs="宋体"/>
          <w:kern w:val="0"/>
          <w:sz w:val="28"/>
          <w:szCs w:val="28"/>
        </w:rPr>
      </w:pPr>
      <w:r>
        <w:rPr>
          <w:rFonts w:hint="eastAsia" w:ascii="宋体" w:hAnsi="宋体" w:cs="宋体"/>
          <w:kern w:val="0"/>
          <w:sz w:val="28"/>
          <w:szCs w:val="28"/>
        </w:rPr>
        <w:t xml:space="preserve">1.未经采购人事前书面批准，不论服务期间或以后，中标人及其工作人员不得以任何方式泄漏采购人的保密信息。 </w:t>
      </w:r>
    </w:p>
    <w:p>
      <w:pPr>
        <w:widowControl/>
        <w:ind w:firstLine="565" w:firstLineChars="202"/>
        <w:jc w:val="left"/>
        <w:rPr>
          <w:rFonts w:ascii="宋体" w:hAnsi="宋体" w:cs="宋体"/>
          <w:kern w:val="0"/>
          <w:sz w:val="28"/>
          <w:szCs w:val="28"/>
        </w:rPr>
      </w:pPr>
      <w:r>
        <w:rPr>
          <w:rFonts w:hint="eastAsia" w:ascii="宋体" w:hAnsi="宋体" w:cs="宋体"/>
          <w:kern w:val="0"/>
          <w:sz w:val="28"/>
          <w:szCs w:val="28"/>
        </w:rPr>
        <w:t xml:space="preserve">2.不私自复制、下载、拷贝、携带和留存保密信息。 </w:t>
      </w:r>
    </w:p>
    <w:p>
      <w:pPr>
        <w:widowControl/>
        <w:ind w:firstLine="565" w:firstLineChars="202"/>
        <w:jc w:val="left"/>
        <w:rPr>
          <w:rFonts w:ascii="宋体" w:hAnsi="宋体" w:cs="宋体"/>
          <w:kern w:val="0"/>
          <w:sz w:val="28"/>
          <w:szCs w:val="28"/>
        </w:rPr>
      </w:pPr>
      <w:r>
        <w:rPr>
          <w:rFonts w:hint="eastAsia" w:ascii="宋体" w:hAnsi="宋体" w:cs="宋体"/>
          <w:kern w:val="0"/>
          <w:sz w:val="28"/>
          <w:szCs w:val="28"/>
        </w:rPr>
        <w:t xml:space="preserve">3.一旦服务工作终止，中标人及其工作人员将退还保存的属于采购人的所有保密信息及资料，如方案、制度、报告、合同等。 </w:t>
      </w:r>
    </w:p>
    <w:p>
      <w:pPr>
        <w:widowControl/>
        <w:ind w:firstLine="565" w:firstLineChars="202"/>
        <w:jc w:val="left"/>
        <w:rPr>
          <w:rFonts w:ascii="宋体" w:hAnsi="宋体" w:cs="宋体"/>
          <w:kern w:val="0"/>
          <w:sz w:val="28"/>
          <w:szCs w:val="28"/>
        </w:rPr>
      </w:pPr>
      <w:r>
        <w:rPr>
          <w:rFonts w:hint="eastAsia" w:ascii="宋体" w:hAnsi="宋体" w:cs="宋体"/>
          <w:kern w:val="0"/>
          <w:sz w:val="28"/>
          <w:szCs w:val="28"/>
        </w:rPr>
        <w:t xml:space="preserve">保密期限：从获知采购人保密信息时起，至保密信息已由采购人通过合法途径让普通公众知悉时止。 </w:t>
      </w:r>
    </w:p>
    <w:p>
      <w:pPr>
        <w:widowControl/>
        <w:ind w:firstLine="565" w:firstLineChars="202"/>
        <w:jc w:val="left"/>
        <w:rPr>
          <w:rFonts w:ascii="宋体" w:hAnsi="宋体" w:cs="宋体"/>
          <w:kern w:val="0"/>
          <w:sz w:val="28"/>
          <w:szCs w:val="28"/>
        </w:rPr>
      </w:pPr>
      <w:r>
        <w:rPr>
          <w:rFonts w:hint="eastAsia" w:ascii="宋体" w:hAnsi="宋体" w:cs="宋体"/>
          <w:kern w:val="0"/>
          <w:sz w:val="28"/>
          <w:szCs w:val="28"/>
        </w:rPr>
        <w:t>中标人违反本保密协议约定，要承担违约责任，采购人有权通过任何合理方式追究乙方的责任并终止服务合同。</w:t>
      </w:r>
    </w:p>
    <w:p>
      <w:pPr>
        <w:pStyle w:val="6"/>
        <w:widowControl/>
        <w:numPr>
          <w:ilvl w:val="0"/>
          <w:numId w:val="1"/>
        </w:numPr>
        <w:ind w:firstLineChars="0"/>
        <w:jc w:val="left"/>
        <w:outlineLvl w:val="1"/>
        <w:rPr>
          <w:rFonts w:ascii="黑体" w:hAnsi="黑体" w:eastAsia="黑体" w:cs="黑体"/>
          <w:b/>
          <w:sz w:val="28"/>
          <w:szCs w:val="28"/>
        </w:rPr>
      </w:pPr>
      <w:bookmarkStart w:id="10" w:name="_Toc46351591"/>
      <w:r>
        <w:rPr>
          <w:rFonts w:hint="eastAsia" w:ascii="黑体" w:hAnsi="黑体" w:eastAsia="黑体" w:cs="黑体"/>
          <w:b/>
          <w:sz w:val="28"/>
          <w:szCs w:val="28"/>
        </w:rPr>
        <w:t>项目服务地点</w:t>
      </w:r>
      <w:bookmarkEnd w:id="10"/>
    </w:p>
    <w:p>
      <w:pPr>
        <w:widowControl/>
        <w:ind w:firstLine="560" w:firstLineChars="200"/>
        <w:jc w:val="left"/>
        <w:rPr>
          <w:rFonts w:ascii="宋体" w:hAnsi="宋体"/>
          <w:sz w:val="28"/>
          <w:szCs w:val="28"/>
        </w:rPr>
      </w:pPr>
      <w:r>
        <w:rPr>
          <w:rFonts w:hint="eastAsia" w:ascii="宋体" w:hAnsi="宋体"/>
          <w:sz w:val="28"/>
          <w:szCs w:val="28"/>
        </w:rPr>
        <w:t>广东省工业和信息化厅</w:t>
      </w:r>
    </w:p>
    <w:p>
      <w:pPr>
        <w:pStyle w:val="6"/>
        <w:widowControl/>
        <w:ind w:firstLine="0" w:firstLineChars="0"/>
        <w:jc w:val="left"/>
        <w:outlineLvl w:val="1"/>
        <w:rPr>
          <w:rFonts w:ascii="黑体" w:hAnsi="黑体" w:eastAsia="黑体" w:cs="黑体"/>
          <w:b/>
          <w:color w:val="FF0000"/>
          <w:sz w:val="28"/>
          <w:szCs w:val="28"/>
        </w:rPr>
      </w:pPr>
      <w:bookmarkStart w:id="11" w:name="_Toc43200777"/>
      <w:r>
        <w:rPr>
          <w:rFonts w:hint="eastAsia" w:ascii="黑体" w:hAnsi="黑体" w:eastAsia="黑体" w:cs="黑体"/>
          <w:b/>
          <w:sz w:val="28"/>
          <w:szCs w:val="28"/>
          <w:lang w:eastAsia="zh-CN"/>
        </w:rPr>
        <w:t>　　</w:t>
      </w:r>
      <w:r>
        <w:rPr>
          <w:rFonts w:hint="eastAsia" w:ascii="黑体" w:hAnsi="黑体" w:eastAsia="黑体" w:cs="黑体"/>
          <w:b/>
          <w:sz w:val="28"/>
          <w:szCs w:val="28"/>
        </w:rPr>
        <w:t>九、项目服务期限</w:t>
      </w:r>
      <w:bookmarkEnd w:id="11"/>
      <w:r>
        <w:rPr>
          <w:rFonts w:hint="eastAsia" w:ascii="黑体" w:hAnsi="黑体" w:eastAsia="黑体" w:cs="黑体"/>
          <w:b/>
          <w:sz w:val="28"/>
          <w:szCs w:val="28"/>
        </w:rPr>
        <w:t>及其它约定</w:t>
      </w:r>
    </w:p>
    <w:p>
      <w:pPr>
        <w:widowControl/>
        <w:ind w:firstLine="565" w:firstLineChars="202"/>
        <w:jc w:val="left"/>
        <w:rPr>
          <w:rFonts w:hint="eastAsia" w:ascii="宋体" w:hAnsi="宋体" w:cs="宋体"/>
          <w:kern w:val="0"/>
          <w:sz w:val="28"/>
          <w:szCs w:val="28"/>
        </w:rPr>
      </w:pPr>
      <w:r>
        <w:rPr>
          <w:rFonts w:hint="eastAsia" w:ascii="宋体" w:hAnsi="宋体" w:cs="宋体"/>
          <w:kern w:val="0"/>
          <w:sz w:val="28"/>
          <w:szCs w:val="28"/>
        </w:rPr>
        <w:t>自签订合同之日起至本项目各系统完成立项申报并通过验收。</w:t>
      </w:r>
    </w:p>
    <w:p>
      <w:pPr>
        <w:widowControl/>
        <w:ind w:firstLine="565" w:firstLineChars="202"/>
        <w:jc w:val="left"/>
        <w:rPr>
          <w:rFonts w:hint="eastAsia" w:ascii="宋体" w:hAnsi="宋体" w:cs="宋体"/>
          <w:kern w:val="0"/>
          <w:sz w:val="28"/>
          <w:szCs w:val="28"/>
        </w:rPr>
      </w:pPr>
      <w:r>
        <w:rPr>
          <w:rFonts w:hint="eastAsia" w:ascii="宋体" w:hAnsi="宋体" w:cs="宋体"/>
          <w:kern w:val="0"/>
          <w:sz w:val="28"/>
          <w:szCs w:val="28"/>
        </w:rPr>
        <w:t>合同款需在合同签订及各项目建设资金到位后十个工作日内，才开始按合同约定进度予以支付。</w:t>
      </w:r>
    </w:p>
    <w:p>
      <w:pPr>
        <w:widowControl/>
        <w:jc w:val="left"/>
        <w:rPr>
          <w:rFonts w:ascii="宋体" w:hAnsi="宋体"/>
          <w:sz w:val="28"/>
          <w:szCs w:val="28"/>
        </w:rPr>
      </w:pPr>
      <w:r>
        <w:rPr>
          <w:rFonts w:ascii="宋体" w:hAnsi="宋体"/>
          <w:sz w:val="28"/>
          <w:szCs w:val="28"/>
        </w:rPr>
        <w:br w:type="page"/>
      </w:r>
    </w:p>
    <w:p>
      <w:pPr>
        <w:pStyle w:val="5"/>
        <w:numPr>
          <w:ilvl w:val="0"/>
          <w:numId w:val="0"/>
        </w:numPr>
        <w:ind w:leftChars="0"/>
        <w:jc w:val="both"/>
        <w:outlineLvl w:val="0"/>
        <w:rPr>
          <w:rFonts w:hint="eastAsia" w:ascii="黑体" w:hAnsi="黑体" w:eastAsia="黑体"/>
          <w:b/>
          <w:sz w:val="32"/>
          <w:szCs w:val="32"/>
          <w:lang w:eastAsia="zh-CN"/>
        </w:rPr>
      </w:pPr>
      <w:bookmarkStart w:id="12" w:name="_Toc41468352"/>
      <w:bookmarkStart w:id="13" w:name="_Toc43200778"/>
      <w:r>
        <w:rPr>
          <w:rFonts w:hint="eastAsia" w:ascii="黑体" w:hAnsi="黑体" w:eastAsia="黑体"/>
          <w:b w:val="0"/>
          <w:bCs/>
          <w:sz w:val="32"/>
          <w:szCs w:val="32"/>
          <w:lang w:eastAsia="zh-CN"/>
        </w:rPr>
        <w:t>附件</w:t>
      </w:r>
      <w:r>
        <w:rPr>
          <w:rFonts w:hint="eastAsia" w:ascii="黑体" w:hAnsi="黑体" w:eastAsia="黑体"/>
          <w:b w:val="0"/>
          <w:bCs/>
          <w:sz w:val="32"/>
          <w:szCs w:val="32"/>
          <w:lang w:val="en-US" w:eastAsia="zh-CN"/>
        </w:rPr>
        <w:t>2</w:t>
      </w:r>
    </w:p>
    <w:p>
      <w:pPr>
        <w:pStyle w:val="5"/>
        <w:numPr>
          <w:ilvl w:val="0"/>
          <w:numId w:val="0"/>
        </w:numPr>
        <w:ind w:leftChars="0"/>
        <w:jc w:val="center"/>
        <w:outlineLvl w:val="0"/>
        <w:rPr>
          <w:rFonts w:ascii="黑体" w:hAnsi="黑体" w:eastAsia="黑体"/>
          <w:b/>
          <w:sz w:val="32"/>
          <w:szCs w:val="32"/>
        </w:rPr>
      </w:pPr>
      <w:r>
        <w:rPr>
          <w:rFonts w:hint="eastAsia" w:ascii="方正小标宋简体" w:hAnsi="方正小标宋简体" w:eastAsia="方正小标宋简体" w:cs="方正小标宋简体"/>
          <w:b/>
          <w:sz w:val="36"/>
          <w:szCs w:val="36"/>
        </w:rPr>
        <w:t>遴选申报文件格式</w:t>
      </w:r>
      <w:bookmarkEnd w:id="12"/>
      <w:bookmarkEnd w:id="13"/>
    </w:p>
    <w:p>
      <w:pPr>
        <w:pStyle w:val="2"/>
        <w:numPr>
          <w:ilvl w:val="0"/>
          <w:numId w:val="2"/>
        </w:numPr>
        <w:rPr>
          <w:rFonts w:ascii="黑体" w:hAnsi="黑体" w:eastAsia="黑体"/>
          <w:bCs w:val="0"/>
          <w:sz w:val="28"/>
          <w:szCs w:val="28"/>
        </w:rPr>
      </w:pPr>
      <w:bookmarkStart w:id="14" w:name="_Toc41468353"/>
      <w:bookmarkStart w:id="15" w:name="_Toc46351594"/>
      <w:r>
        <w:rPr>
          <w:rFonts w:ascii="黑体" w:hAnsi="黑体" w:eastAsia="黑体" w:cs="黑体"/>
          <w:b/>
          <w:bCs/>
          <w:kern w:val="2"/>
          <w:sz w:val="32"/>
          <w:szCs w:val="32"/>
          <w:lang w:val="en-US" w:eastAsia="zh-CN" w:bidi="ar-SA"/>
        </w:rPr>
        <mc:AlternateContent>
          <mc:Choice Requires="wps">
            <w:drawing>
              <wp:anchor distT="0" distB="0" distL="114300" distR="114300" simplePos="0" relativeHeight="251658240" behindDoc="1" locked="0" layoutInCell="1" allowOverlap="1">
                <wp:simplePos x="0" y="0"/>
                <wp:positionH relativeFrom="margin">
                  <wp:posOffset>-193040</wp:posOffset>
                </wp:positionH>
                <wp:positionV relativeFrom="paragraph">
                  <wp:posOffset>666750</wp:posOffset>
                </wp:positionV>
                <wp:extent cx="6294755" cy="7708900"/>
                <wp:effectExtent l="4445" t="4445" r="6350" b="20955"/>
                <wp:wrapNone/>
                <wp:docPr id="1" name="文本框 2"/>
                <wp:cNvGraphicFramePr/>
                <a:graphic xmlns:a="http://schemas.openxmlformats.org/drawingml/2006/main">
                  <a:graphicData uri="http://schemas.microsoft.com/office/word/2010/wordprocessingShape">
                    <wps:wsp>
                      <wps:cNvSpPr/>
                      <wps:spPr>
                        <a:xfrm>
                          <a:off x="0" y="0"/>
                          <a:ext cx="6294755" cy="7708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文本框 2" o:spid="_x0000_s1026" o:spt="1" style="position:absolute;left:0pt;margin-left:-15.2pt;margin-top:52.5pt;height:607pt;width:495.65pt;mso-position-horizontal-relative:margin;z-index:-251658240;mso-width-relative:page;mso-height-relative:page;" fillcolor="#FFFFFF" filled="t" stroked="t" coordsize="21600,21600" o:gfxdata="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rvgYdkAAAAMAQAADwAAAAAAAAABACAAAAAiAAAAZHJzL2Rvd25yZXYueG1sUEsBAhQAFAAA&#10;AAgAh07iQPwnfzvuAQAA3wMAAA4AAAAAAAAAAQAgAAAAKAEAAGRycy9lMm9Eb2MueG1sUEsFBgAA&#10;AAAGAAYAWQEAAIgFAAAAAA==&#10;">
                <v:fill on="t" focussize="0,0"/>
                <v:stroke color="#000000" joinstyle="miter"/>
                <v:imagedata o:title=""/>
                <o:lock v:ext="edit" aspectratio="f"/>
                <v:textbox>
                  <w:txbxContent>
                    <w:p>
                      <w:pPr>
                        <w:jc w:val="center"/>
                      </w:pPr>
                    </w:p>
                  </w:txbxContent>
                </v:textbox>
              </v:rect>
            </w:pict>
          </mc:Fallback>
        </mc:AlternateContent>
      </w:r>
      <w:r>
        <w:rPr>
          <w:rFonts w:hint="eastAsia" w:ascii="黑体" w:hAnsi="黑体" w:eastAsia="黑体"/>
          <w:bCs w:val="0"/>
          <w:sz w:val="28"/>
          <w:szCs w:val="28"/>
        </w:rPr>
        <w:t>遴选申报文件封面</w:t>
      </w:r>
      <w:bookmarkEnd w:id="14"/>
      <w:bookmarkEnd w:id="15"/>
    </w:p>
    <w:p>
      <w:pPr>
        <w:ind w:right="1280"/>
        <w:jc w:val="right"/>
        <w:rPr>
          <w:rFonts w:ascii="仿宋_GB2312" w:eastAsia="仿宋_GB2312"/>
          <w:sz w:val="32"/>
          <w:szCs w:val="32"/>
        </w:rPr>
      </w:pPr>
      <w:r>
        <w:rPr>
          <w:rFonts w:hint="eastAsia" w:ascii="仿宋_GB2312" w:eastAsia="仿宋_GB2312"/>
          <w:sz w:val="32"/>
          <w:szCs w:val="32"/>
        </w:rPr>
        <w:t>正本（或副本）</w:t>
      </w:r>
    </w:p>
    <w:p>
      <w:pPr>
        <w:ind w:hanging="2"/>
        <w:rPr>
          <w:rFonts w:ascii="仿宋_GB2312" w:eastAsia="仿宋_GB2312"/>
          <w:sz w:val="32"/>
          <w:szCs w:val="32"/>
        </w:rPr>
      </w:pPr>
      <w:r>
        <w:rPr>
          <w:rFonts w:hint="eastAsia" w:ascii="仿宋_GB2312" w:eastAsia="仿宋_GB2312"/>
          <w:sz w:val="32"/>
          <w:szCs w:val="32"/>
        </w:rPr>
        <w:t>项目名称：广东省工业和信息化厅</w:t>
      </w:r>
      <w:r>
        <w:rPr>
          <w:rFonts w:hint="eastAsia" w:ascii="仿宋_GB2312" w:eastAsia="仿宋_GB2312"/>
          <w:bCs/>
          <w:sz w:val="32"/>
          <w:szCs w:val="32"/>
        </w:rPr>
        <w:t>商用</w:t>
      </w:r>
      <w:r>
        <w:rPr>
          <w:rFonts w:hint="eastAsia" w:ascii="仿宋_GB2312" w:eastAsia="仿宋_GB2312"/>
          <w:bCs/>
          <w:sz w:val="32"/>
          <w:szCs w:val="32"/>
          <w:lang w:eastAsia="zh-CN"/>
        </w:rPr>
        <w:t>密码应用建设方案</w:t>
      </w:r>
      <w:r>
        <w:rPr>
          <w:rFonts w:hint="eastAsia" w:ascii="仿宋_GB2312" w:eastAsia="仿宋_GB2312"/>
          <w:bCs/>
          <w:sz w:val="32"/>
          <w:szCs w:val="32"/>
        </w:rPr>
        <w:t>评估服务</w:t>
      </w:r>
    </w:p>
    <w:p>
      <w:pPr>
        <w:rPr>
          <w:rFonts w:ascii="仿宋_GB2312" w:eastAsia="仿宋_GB2312"/>
          <w:sz w:val="30"/>
          <w:szCs w:val="30"/>
        </w:rPr>
      </w:pPr>
    </w:p>
    <w:p>
      <w:pPr>
        <w:jc w:val="center"/>
        <w:rPr>
          <w:rFonts w:ascii="仿宋_GB2312" w:eastAsia="仿宋_GB2312"/>
          <w:b/>
          <w:sz w:val="52"/>
          <w:szCs w:val="52"/>
        </w:rPr>
      </w:pPr>
      <w:r>
        <w:rPr>
          <w:rFonts w:hint="eastAsia" w:ascii="仿宋_GB2312" w:eastAsia="仿宋_GB2312"/>
          <w:b/>
          <w:sz w:val="52"/>
          <w:szCs w:val="52"/>
        </w:rPr>
        <w:t>遴</w:t>
      </w:r>
    </w:p>
    <w:p>
      <w:pPr>
        <w:jc w:val="center"/>
        <w:rPr>
          <w:rFonts w:ascii="仿宋_GB2312" w:eastAsia="仿宋_GB2312"/>
          <w:b/>
          <w:sz w:val="52"/>
          <w:szCs w:val="52"/>
        </w:rPr>
      </w:pPr>
      <w:r>
        <w:rPr>
          <w:rFonts w:hint="eastAsia" w:ascii="仿宋_GB2312" w:eastAsia="仿宋_GB2312"/>
          <w:b/>
          <w:sz w:val="52"/>
          <w:szCs w:val="52"/>
        </w:rPr>
        <w:t>选</w:t>
      </w:r>
    </w:p>
    <w:p>
      <w:pPr>
        <w:jc w:val="center"/>
        <w:rPr>
          <w:rFonts w:ascii="仿宋_GB2312" w:eastAsia="仿宋_GB2312"/>
          <w:b/>
          <w:sz w:val="52"/>
          <w:szCs w:val="52"/>
        </w:rPr>
      </w:pPr>
      <w:r>
        <w:rPr>
          <w:rFonts w:hint="eastAsia" w:ascii="仿宋_GB2312" w:eastAsia="仿宋_GB2312"/>
          <w:b/>
          <w:sz w:val="52"/>
          <w:szCs w:val="52"/>
        </w:rPr>
        <w:t>申</w:t>
      </w:r>
    </w:p>
    <w:p>
      <w:pPr>
        <w:jc w:val="center"/>
        <w:rPr>
          <w:rFonts w:ascii="仿宋_GB2312" w:eastAsia="仿宋_GB2312"/>
          <w:b/>
          <w:sz w:val="52"/>
          <w:szCs w:val="52"/>
        </w:rPr>
      </w:pPr>
      <w:r>
        <w:rPr>
          <w:rFonts w:hint="eastAsia" w:ascii="仿宋_GB2312" w:eastAsia="仿宋_GB2312"/>
          <w:b/>
          <w:sz w:val="52"/>
          <w:szCs w:val="52"/>
        </w:rPr>
        <w:t>报</w:t>
      </w:r>
    </w:p>
    <w:p>
      <w:pPr>
        <w:jc w:val="center"/>
        <w:rPr>
          <w:rFonts w:ascii="仿宋_GB2312" w:eastAsia="仿宋_GB2312"/>
          <w:b/>
          <w:sz w:val="52"/>
          <w:szCs w:val="52"/>
        </w:rPr>
      </w:pPr>
      <w:r>
        <w:rPr>
          <w:rFonts w:hint="eastAsia" w:ascii="仿宋_GB2312" w:eastAsia="仿宋_GB2312"/>
          <w:b/>
          <w:sz w:val="52"/>
          <w:szCs w:val="52"/>
        </w:rPr>
        <w:t>文</w:t>
      </w:r>
    </w:p>
    <w:p>
      <w:pPr>
        <w:jc w:val="center"/>
        <w:rPr>
          <w:rFonts w:ascii="仿宋_GB2312" w:eastAsia="仿宋_GB2312"/>
          <w:sz w:val="52"/>
          <w:szCs w:val="52"/>
        </w:rPr>
      </w:pPr>
      <w:r>
        <w:rPr>
          <w:rFonts w:hint="eastAsia" w:ascii="仿宋_GB2312" w:eastAsia="仿宋_GB2312"/>
          <w:b/>
          <w:sz w:val="52"/>
          <w:szCs w:val="52"/>
        </w:rPr>
        <w:t>件</w:t>
      </w:r>
    </w:p>
    <w:p>
      <w:pPr>
        <w:rPr>
          <w:rFonts w:ascii="仿宋_GB2312" w:eastAsia="仿宋_GB2312"/>
          <w:sz w:val="30"/>
          <w:szCs w:val="30"/>
        </w:rPr>
      </w:pPr>
    </w:p>
    <w:p>
      <w:pPr>
        <w:rPr>
          <w:rFonts w:ascii="仿宋_GB2312" w:eastAsia="仿宋_GB2312"/>
          <w:sz w:val="30"/>
          <w:szCs w:val="30"/>
        </w:rPr>
      </w:pPr>
    </w:p>
    <w:p>
      <w:pPr>
        <w:jc w:val="center"/>
        <w:rPr>
          <w:rFonts w:ascii="仿宋_GB2312" w:eastAsia="仿宋_GB2312"/>
          <w:sz w:val="32"/>
          <w:szCs w:val="32"/>
        </w:rPr>
      </w:pPr>
      <w:r>
        <w:rPr>
          <w:rFonts w:hint="eastAsia" w:ascii="仿宋_GB2312" w:eastAsia="仿宋_GB2312"/>
          <w:sz w:val="32"/>
          <w:szCs w:val="32"/>
        </w:rPr>
        <w:t>遴选申请人：（全称并加盖单位公章）</w:t>
      </w:r>
    </w:p>
    <w:p>
      <w:pPr>
        <w:rPr>
          <w:rFonts w:ascii="仿宋_GB2312" w:eastAsia="仿宋_GB2312"/>
          <w:sz w:val="30"/>
          <w:szCs w:val="30"/>
        </w:rPr>
      </w:pPr>
    </w:p>
    <w:p>
      <w:pPr>
        <w:jc w:val="center"/>
        <w:rPr>
          <w:rFonts w:ascii="仿宋_GB2312" w:eastAsia="仿宋_GB2312"/>
          <w:sz w:val="32"/>
          <w:szCs w:val="32"/>
        </w:rPr>
      </w:pPr>
      <w:r>
        <w:rPr>
          <w:rFonts w:hint="eastAsia" w:ascii="仿宋_GB2312" w:eastAsia="仿宋_GB2312"/>
          <w:sz w:val="32"/>
          <w:szCs w:val="32"/>
        </w:rPr>
        <w:t>年      月      日</w:t>
      </w:r>
    </w:p>
    <w:p>
      <w:pPr>
        <w:pStyle w:val="2"/>
        <w:numPr>
          <w:ilvl w:val="0"/>
          <w:numId w:val="2"/>
        </w:numPr>
        <w:rPr>
          <w:rFonts w:ascii="黑体" w:hAnsi="黑体" w:eastAsia="黑体"/>
          <w:bCs w:val="0"/>
          <w:sz w:val="28"/>
          <w:szCs w:val="28"/>
        </w:rPr>
      </w:pPr>
      <w:bookmarkStart w:id="16" w:name="_Toc46351595"/>
      <w:bookmarkStart w:id="17" w:name="_Toc41468354"/>
      <w:r>
        <w:rPr>
          <w:rFonts w:hint="eastAsia" w:ascii="黑体" w:hAnsi="黑体" w:eastAsia="黑体"/>
          <w:bCs w:val="0"/>
          <w:sz w:val="28"/>
          <w:szCs w:val="28"/>
        </w:rPr>
        <w:t>遴选报价表</w:t>
      </w:r>
      <w:bookmarkEnd w:id="16"/>
      <w:bookmarkEnd w:id="17"/>
    </w:p>
    <w:tbl>
      <w:tblPr>
        <w:tblStyle w:val="4"/>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9"/>
        <w:gridCol w:w="1650"/>
        <w:gridCol w:w="3156"/>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9" w:type="dxa"/>
            <w:vAlign w:val="top"/>
          </w:tcPr>
          <w:p>
            <w:pPr>
              <w:jc w:val="center"/>
              <w:rPr>
                <w:rFonts w:ascii="宋体" w:hAnsi="宋体"/>
                <w:b/>
                <w:bCs/>
                <w:sz w:val="28"/>
                <w:szCs w:val="28"/>
              </w:rPr>
            </w:pPr>
            <w:r>
              <w:rPr>
                <w:rFonts w:hint="eastAsia" w:ascii="宋体" w:hAnsi="宋体"/>
                <w:b/>
                <w:bCs/>
                <w:sz w:val="28"/>
                <w:szCs w:val="28"/>
              </w:rPr>
              <w:t>服务名称</w:t>
            </w:r>
          </w:p>
        </w:tc>
        <w:tc>
          <w:tcPr>
            <w:tcW w:w="1650" w:type="dxa"/>
            <w:vAlign w:val="top"/>
          </w:tcPr>
          <w:p>
            <w:pPr>
              <w:jc w:val="center"/>
              <w:rPr>
                <w:rFonts w:ascii="宋体" w:hAnsi="宋体"/>
                <w:b/>
                <w:bCs/>
                <w:sz w:val="28"/>
                <w:szCs w:val="28"/>
              </w:rPr>
            </w:pPr>
            <w:r>
              <w:rPr>
                <w:rFonts w:hint="eastAsia" w:ascii="宋体" w:hAnsi="宋体"/>
                <w:b/>
                <w:bCs/>
                <w:sz w:val="28"/>
                <w:szCs w:val="28"/>
              </w:rPr>
              <w:t>服务内容</w:t>
            </w:r>
          </w:p>
        </w:tc>
        <w:tc>
          <w:tcPr>
            <w:tcW w:w="3156" w:type="dxa"/>
            <w:vAlign w:val="top"/>
          </w:tcPr>
          <w:p>
            <w:pPr>
              <w:jc w:val="center"/>
              <w:rPr>
                <w:rFonts w:ascii="宋体" w:hAnsi="宋体"/>
                <w:b/>
                <w:bCs/>
                <w:sz w:val="28"/>
                <w:szCs w:val="28"/>
              </w:rPr>
            </w:pPr>
            <w:r>
              <w:rPr>
                <w:rFonts w:hint="eastAsia" w:ascii="宋体" w:hAnsi="宋体"/>
                <w:b/>
                <w:bCs/>
                <w:sz w:val="28"/>
                <w:szCs w:val="28"/>
              </w:rPr>
              <w:t>预算（元）</w:t>
            </w:r>
          </w:p>
        </w:tc>
        <w:tc>
          <w:tcPr>
            <w:tcW w:w="2140" w:type="dxa"/>
            <w:vAlign w:val="top"/>
          </w:tcPr>
          <w:p>
            <w:pPr>
              <w:jc w:val="center"/>
              <w:rPr>
                <w:rFonts w:ascii="宋体" w:hAnsi="宋体"/>
                <w:b/>
                <w:bCs/>
                <w:sz w:val="28"/>
                <w:szCs w:val="28"/>
              </w:rPr>
            </w:pPr>
            <w:r>
              <w:rPr>
                <w:rFonts w:hint="eastAsia" w:ascii="宋体" w:hAnsi="宋体"/>
                <w:b/>
                <w:bCs/>
                <w:sz w:val="28"/>
                <w:szCs w:val="28"/>
              </w:rPr>
              <w:t>申请人报价（元）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0" w:hRule="atLeast"/>
        </w:trPr>
        <w:tc>
          <w:tcPr>
            <w:tcW w:w="2399" w:type="dxa"/>
            <w:vAlign w:val="center"/>
          </w:tcPr>
          <w:p>
            <w:pPr>
              <w:jc w:val="center"/>
              <w:rPr>
                <w:rFonts w:ascii="宋体" w:hAnsi="宋体"/>
                <w:sz w:val="28"/>
                <w:szCs w:val="28"/>
              </w:rPr>
            </w:pPr>
            <w:r>
              <w:rPr>
                <w:rFonts w:ascii="宋体" w:hAnsi="宋体"/>
                <w:bCs/>
                <w:sz w:val="28"/>
                <w:szCs w:val="28"/>
              </w:rPr>
              <w:t>广东</w:t>
            </w:r>
            <w:r>
              <w:rPr>
                <w:rFonts w:hint="eastAsia" w:ascii="宋体" w:hAnsi="宋体"/>
                <w:bCs/>
                <w:sz w:val="28"/>
                <w:szCs w:val="28"/>
              </w:rPr>
              <w:t>省工业和信息化厅商用</w:t>
            </w:r>
            <w:r>
              <w:rPr>
                <w:rFonts w:hint="eastAsia" w:ascii="宋体" w:hAnsi="宋体"/>
                <w:bCs/>
                <w:sz w:val="28"/>
                <w:szCs w:val="28"/>
                <w:lang w:eastAsia="zh-CN"/>
              </w:rPr>
              <w:t>密码应用建设方案</w:t>
            </w:r>
            <w:r>
              <w:rPr>
                <w:rFonts w:hint="eastAsia" w:ascii="宋体" w:hAnsi="宋体"/>
                <w:bCs/>
                <w:sz w:val="28"/>
                <w:szCs w:val="28"/>
              </w:rPr>
              <w:t>评估服务</w:t>
            </w:r>
          </w:p>
        </w:tc>
        <w:tc>
          <w:tcPr>
            <w:tcW w:w="1650" w:type="dxa"/>
            <w:vAlign w:val="center"/>
          </w:tcPr>
          <w:p>
            <w:pPr>
              <w:jc w:val="center"/>
              <w:rPr>
                <w:rFonts w:ascii="宋体" w:hAnsi="宋体"/>
                <w:sz w:val="28"/>
                <w:szCs w:val="28"/>
              </w:rPr>
            </w:pPr>
            <w:r>
              <w:rPr>
                <w:rFonts w:hint="eastAsia" w:ascii="宋体" w:hAnsi="宋体"/>
                <w:sz w:val="28"/>
                <w:szCs w:val="28"/>
              </w:rPr>
              <w:t>密码应用建设方案评估服务</w:t>
            </w:r>
          </w:p>
        </w:tc>
        <w:tc>
          <w:tcPr>
            <w:tcW w:w="3156" w:type="dxa"/>
            <w:vAlign w:val="center"/>
          </w:tcPr>
          <w:p>
            <w:pPr>
              <w:jc w:val="center"/>
              <w:rPr>
                <w:rFonts w:ascii="宋体" w:hAnsi="宋体"/>
                <w:b/>
                <w:bCs/>
                <w:color w:val="FF0000"/>
                <w:sz w:val="28"/>
                <w:szCs w:val="28"/>
              </w:rPr>
            </w:pPr>
          </w:p>
        </w:tc>
        <w:tc>
          <w:tcPr>
            <w:tcW w:w="2140" w:type="dxa"/>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49" w:type="dxa"/>
            <w:gridSpan w:val="2"/>
            <w:vAlign w:val="center"/>
          </w:tcPr>
          <w:p>
            <w:pPr>
              <w:jc w:val="center"/>
              <w:rPr>
                <w:rFonts w:ascii="宋体" w:hAnsi="宋体"/>
                <w:sz w:val="28"/>
                <w:szCs w:val="28"/>
              </w:rPr>
            </w:pPr>
            <w:r>
              <w:rPr>
                <w:rFonts w:hint="eastAsia" w:ascii="宋体" w:hAnsi="宋体"/>
                <w:sz w:val="28"/>
                <w:szCs w:val="28"/>
              </w:rPr>
              <w:t>合计</w:t>
            </w:r>
          </w:p>
        </w:tc>
        <w:tc>
          <w:tcPr>
            <w:tcW w:w="3156" w:type="dxa"/>
            <w:vAlign w:val="center"/>
          </w:tcPr>
          <w:p>
            <w:pPr>
              <w:rPr>
                <w:rFonts w:ascii="宋体" w:hAnsi="宋体"/>
                <w:b/>
                <w:bCs/>
                <w:color w:val="FF0000"/>
                <w:sz w:val="28"/>
                <w:szCs w:val="28"/>
              </w:rPr>
            </w:pPr>
          </w:p>
        </w:tc>
        <w:tc>
          <w:tcPr>
            <w:tcW w:w="2140" w:type="dxa"/>
            <w:vAlign w:val="top"/>
          </w:tcPr>
          <w:p>
            <w:pPr>
              <w:rPr>
                <w:rFonts w:ascii="宋体" w:hAnsi="宋体"/>
                <w:sz w:val="28"/>
                <w:szCs w:val="28"/>
              </w:rPr>
            </w:pPr>
          </w:p>
        </w:tc>
      </w:tr>
    </w:tbl>
    <w:p>
      <w:pPr>
        <w:rPr>
          <w:rFonts w:ascii="宋体" w:hAnsi="宋体"/>
          <w:sz w:val="28"/>
          <w:szCs w:val="28"/>
        </w:rPr>
      </w:pPr>
      <w:r>
        <w:rPr>
          <w:rFonts w:hint="eastAsia" w:ascii="宋体" w:hAnsi="宋体"/>
          <w:sz w:val="28"/>
          <w:szCs w:val="28"/>
        </w:rPr>
        <w:t>注：遴选申请人需对每项服务内容逐一报价，报价超过总预算或分项预算的，属于无效报价。</w:t>
      </w:r>
    </w:p>
    <w:p>
      <w:pPr>
        <w:jc w:val="right"/>
        <w:rPr>
          <w:rFonts w:ascii="宋体" w:hAnsi="宋体"/>
          <w:sz w:val="28"/>
          <w:szCs w:val="28"/>
        </w:rPr>
      </w:pPr>
    </w:p>
    <w:p>
      <w:pPr>
        <w:jc w:val="right"/>
        <w:rPr>
          <w:rFonts w:ascii="宋体" w:hAnsi="宋体"/>
          <w:sz w:val="28"/>
          <w:szCs w:val="28"/>
        </w:rPr>
      </w:pPr>
      <w:r>
        <w:rPr>
          <w:rFonts w:hint="eastAsia" w:ascii="宋体" w:hAnsi="宋体"/>
          <w:sz w:val="28"/>
          <w:szCs w:val="28"/>
        </w:rPr>
        <w:t>遴选申请人：（全称并加盖单位公章）</w:t>
      </w:r>
    </w:p>
    <w:p>
      <w:pPr>
        <w:jc w:val="right"/>
        <w:rPr>
          <w:rFonts w:ascii="宋体" w:hAnsi="宋体"/>
          <w:sz w:val="28"/>
          <w:szCs w:val="28"/>
        </w:rPr>
      </w:pPr>
      <w:r>
        <w:rPr>
          <w:rFonts w:hint="eastAsia" w:ascii="宋体" w:hAnsi="宋体"/>
          <w:sz w:val="28"/>
          <w:szCs w:val="28"/>
        </w:rPr>
        <w:t>年    月   日</w:t>
      </w:r>
    </w:p>
    <w:p>
      <w:pPr>
        <w:widowControl/>
        <w:jc w:val="left"/>
        <w:rPr>
          <w:rFonts w:ascii="仿宋_GB2312" w:eastAsia="仿宋_GB2312"/>
          <w:sz w:val="30"/>
          <w:szCs w:val="30"/>
        </w:rPr>
      </w:pPr>
      <w:r>
        <w:rPr>
          <w:rFonts w:ascii="仿宋_GB2312" w:eastAsia="仿宋_GB2312"/>
          <w:sz w:val="30"/>
          <w:szCs w:val="30"/>
        </w:rPr>
        <w:br w:type="page"/>
      </w:r>
    </w:p>
    <w:p>
      <w:pPr>
        <w:pStyle w:val="2"/>
        <w:numPr>
          <w:ilvl w:val="0"/>
          <w:numId w:val="2"/>
        </w:numPr>
        <w:rPr>
          <w:rFonts w:ascii="黑体" w:hAnsi="黑体" w:eastAsia="黑体"/>
          <w:bCs w:val="0"/>
          <w:sz w:val="28"/>
          <w:szCs w:val="28"/>
        </w:rPr>
      </w:pPr>
      <w:bookmarkStart w:id="18" w:name="_Toc41468355"/>
      <w:bookmarkStart w:id="19" w:name="_Toc46351596"/>
      <w:r>
        <w:rPr>
          <w:rFonts w:hint="eastAsia" w:ascii="黑体" w:hAnsi="黑体" w:eastAsia="黑体"/>
          <w:bCs w:val="0"/>
          <w:sz w:val="28"/>
          <w:szCs w:val="28"/>
        </w:rPr>
        <w:t>遴选申请人概况（格式自拟）</w:t>
      </w:r>
      <w:bookmarkEnd w:id="18"/>
      <w:bookmarkEnd w:id="19"/>
    </w:p>
    <w:p>
      <w:pPr>
        <w:pStyle w:val="2"/>
        <w:numPr>
          <w:ilvl w:val="0"/>
          <w:numId w:val="2"/>
        </w:numPr>
        <w:rPr>
          <w:rFonts w:ascii="黑体" w:hAnsi="黑体" w:eastAsia="黑体"/>
          <w:bCs w:val="0"/>
          <w:sz w:val="28"/>
          <w:szCs w:val="28"/>
        </w:rPr>
      </w:pPr>
      <w:bookmarkStart w:id="20" w:name="_Toc41468356"/>
      <w:bookmarkStart w:id="21" w:name="_Toc46351597"/>
      <w:r>
        <w:rPr>
          <w:rFonts w:hint="eastAsia" w:ascii="黑体" w:hAnsi="黑体" w:eastAsia="黑体"/>
          <w:bCs w:val="0"/>
          <w:sz w:val="28"/>
          <w:szCs w:val="28"/>
        </w:rPr>
        <w:t>拟投入本项目的人员情况汇总表（可扩充）</w:t>
      </w:r>
      <w:bookmarkEnd w:id="20"/>
      <w:bookmarkEnd w:id="21"/>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1984"/>
        <w:gridCol w:w="1418"/>
        <w:gridCol w:w="1417"/>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序号</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姓名</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拟任职务</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专业</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职称</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1</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3</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4</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5</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r>
    </w:tbl>
    <w:p>
      <w:pPr>
        <w:pStyle w:val="2"/>
        <w:numPr>
          <w:ilvl w:val="0"/>
          <w:numId w:val="2"/>
        </w:numPr>
        <w:rPr>
          <w:rFonts w:ascii="黑体" w:hAnsi="黑体" w:eastAsia="黑体"/>
          <w:bCs w:val="0"/>
          <w:sz w:val="28"/>
          <w:szCs w:val="28"/>
        </w:rPr>
      </w:pPr>
      <w:bookmarkStart w:id="22" w:name="_Toc41468357"/>
      <w:bookmarkStart w:id="23" w:name="_Toc46351598"/>
      <w:r>
        <w:rPr>
          <w:rFonts w:hint="eastAsia" w:ascii="黑体" w:hAnsi="黑体" w:eastAsia="黑体"/>
          <w:bCs w:val="0"/>
          <w:sz w:val="28"/>
          <w:szCs w:val="28"/>
        </w:rPr>
        <w:t>遴选申请人服务经验（可扩充）</w:t>
      </w:r>
      <w:bookmarkEnd w:id="22"/>
      <w:bookmarkEnd w:id="23"/>
    </w:p>
    <w:tbl>
      <w:tblPr>
        <w:tblStyle w:val="4"/>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592"/>
        <w:gridCol w:w="2633"/>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起止时间</w:t>
            </w:r>
          </w:p>
        </w:tc>
        <w:tc>
          <w:tcPr>
            <w:tcW w:w="25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项目名称</w:t>
            </w:r>
          </w:p>
        </w:tc>
        <w:tc>
          <w:tcPr>
            <w:tcW w:w="26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单位名称</w:t>
            </w:r>
          </w:p>
        </w:tc>
        <w:tc>
          <w:tcPr>
            <w:tcW w:w="2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服务金额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25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26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2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25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26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2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25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26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2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25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26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2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25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26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2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25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26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2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r>
    </w:tbl>
    <w:p>
      <w:pPr>
        <w:rPr>
          <w:rFonts w:ascii="宋体" w:hAnsi="宋体"/>
          <w:sz w:val="28"/>
          <w:szCs w:val="28"/>
        </w:rPr>
      </w:pPr>
      <w:r>
        <w:rPr>
          <w:rFonts w:hint="eastAsia" w:ascii="宋体" w:hAnsi="宋体"/>
          <w:sz w:val="28"/>
          <w:szCs w:val="28"/>
        </w:rPr>
        <w:t>注：遴选文件中的同类服务经验是指2017年1月1日至今服务的项目。</w:t>
      </w:r>
    </w:p>
    <w:p>
      <w:pPr>
        <w:pStyle w:val="2"/>
        <w:numPr>
          <w:ilvl w:val="0"/>
          <w:numId w:val="2"/>
        </w:numPr>
        <w:rPr>
          <w:rFonts w:hint="eastAsia" w:ascii="黑体" w:hAnsi="黑体" w:eastAsia="黑体"/>
          <w:bCs w:val="0"/>
          <w:sz w:val="28"/>
          <w:szCs w:val="28"/>
        </w:rPr>
      </w:pPr>
      <w:bookmarkStart w:id="24" w:name="_Toc46351599"/>
      <w:bookmarkStart w:id="25" w:name="_Toc41468358"/>
      <w:r>
        <w:rPr>
          <w:rFonts w:hint="eastAsia" w:ascii="黑体" w:hAnsi="黑体" w:eastAsia="黑体"/>
          <w:bCs w:val="0"/>
          <w:sz w:val="28"/>
          <w:szCs w:val="28"/>
        </w:rPr>
        <w:t>服务方案（格式自拟）</w:t>
      </w:r>
      <w:bookmarkEnd w:id="24"/>
      <w:bookmarkEnd w:id="25"/>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00000008"/>
    <w:multiLevelType w:val="multilevel"/>
    <w:tmpl w:val="0000000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1F72D7"/>
    <w:rsid w:val="2D822F51"/>
    <w:rsid w:val="39723E2C"/>
    <w:rsid w:val="3B604CCD"/>
    <w:rsid w:val="4EFD4F72"/>
    <w:rsid w:val="532F46DB"/>
    <w:rsid w:val="55100903"/>
    <w:rsid w:val="575C12E9"/>
    <w:rsid w:val="580F18E9"/>
    <w:rsid w:val="636E3E2F"/>
    <w:rsid w:val="771F72D7"/>
    <w:rsid w:val="793C2A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unhideWhenUsed/>
    <w:qFormat/>
    <w:uiPriority w:val="0"/>
    <w:pPr>
      <w:keepNext/>
      <w:keepLines/>
      <w:spacing w:before="260" w:beforeLines="0" w:after="260" w:afterLines="0" w:line="416" w:lineRule="auto"/>
      <w:outlineLvl w:val="1"/>
    </w:pPr>
    <w:rPr>
      <w:rFonts w:ascii="Cambria" w:hAnsi="Cambria" w:eastAsia="宋体" w:cs="黑体"/>
      <w:b/>
      <w:bCs/>
      <w:kern w:val="2"/>
      <w:sz w:val="32"/>
      <w:szCs w:val="32"/>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5">
    <w:name w:val="列出段落1"/>
    <w:basedOn w:val="1"/>
    <w:qFormat/>
    <w:uiPriority w:val="0"/>
    <w:pPr>
      <w:ind w:firstLine="420" w:firstLineChars="200"/>
    </w:pPr>
  </w:style>
  <w:style w:type="paragraph" w:customStyle="1" w:styleId="6">
    <w:name w:val="List Paragraph"/>
    <w:basedOn w:val="1"/>
    <w:qFormat/>
    <w:uiPriority w:val="0"/>
    <w:pPr>
      <w:ind w:firstLine="420" w:firstLineChars="200"/>
    </w:pPr>
  </w:style>
  <w:style w:type="paragraph" w:customStyle="1" w:styleId="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gdei</Company>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2020-07-23T04:00:00Z</dcterms:created>
  <dc:creator>谭俊</dc:creator>
  <cp:lastModifiedBy>bobby</cp:lastModifiedBy>
  <dcterms:modified xsi:type="dcterms:W3CDTF">2020-07-24T15:38:57Z</dcterms:modified>
  <dc:title>广东省工业和信息化厅关于公开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