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eastAsia="仿宋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费用报价明细表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25"/>
        <w:gridCol w:w="1863"/>
        <w:gridCol w:w="1712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收费标准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金额（万元）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劳务费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4"/>
              </w:rPr>
              <w:t>现场核查差旅费（含交通、住宿、餐费）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会议费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专家费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4"/>
              </w:rPr>
              <w:t>资料印刷费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共计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noWrap w:val="0"/>
            <w:vAlign w:val="top"/>
          </w:tcPr>
          <w:p>
            <w:pPr>
              <w:spacing w:before="100" w:beforeAutospacing="1" w:after="100" w:afterAutospacing="1" w:line="540" w:lineRule="exact"/>
              <w:rPr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备注：1．请将劳务费金额在备注栏内详细列支，格式可参照：金额=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2．请将差旅费金额在备注栏内详细列支，格式可参照：金额=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3．请将会议费金额在备注栏内详细列支，格式可参照：金额=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4．请将交通费金额在备注栏内详细列支，格式可参照：金额=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收费标准*车辆数；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5．请将文印费金额在备注栏内详细列支，格式可参照：金额=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收费标准*文件份数。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1EC1"/>
    <w:rsid w:val="0AAD41BE"/>
    <w:rsid w:val="0B3F4C7A"/>
    <w:rsid w:val="64591EC1"/>
    <w:rsid w:val="666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0</Lines>
  <Paragraphs>0</Paragraphs>
  <TotalTime>1</TotalTime>
  <ScaleCrop>false</ScaleCrop>
  <LinksUpToDate>false</LinksUpToDate>
  <CharactersWithSpaces>336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2021-04-22T12:08:00Z</dcterms:created>
  <dc:creator>  </dc:creator>
  <cp:lastModifiedBy>l2065</cp:lastModifiedBy>
  <dcterms:modified xsi:type="dcterms:W3CDTF">2021-04-22T12:09:22Z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C041A9086B99426A9BFD560EB5109C01</vt:lpwstr>
  </property>
</Properties>
</file>