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outlineLvl w:val="0"/>
        <w:rPr>
          <w:rFonts w:eastAsia="黑体"/>
          <w:sz w:val="32"/>
        </w:rPr>
      </w:pPr>
      <w:r>
        <w:rPr>
          <w:rFonts w:hAnsi="黑体" w:eastAsia="黑体"/>
          <w:sz w:val="32"/>
        </w:rPr>
        <w:t>附件</w:t>
      </w:r>
      <w:r>
        <w:rPr>
          <w:rFonts w:eastAsia="黑体"/>
          <w:sz w:val="32"/>
        </w:rPr>
        <w:t>1</w:t>
      </w:r>
    </w:p>
    <w:p>
      <w:pPr>
        <w:spacing w:line="288" w:lineRule="auto"/>
        <w:jc w:val="center"/>
        <w:outlineLvl w:val="0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>2021</w:t>
      </w:r>
      <w:r>
        <w:rPr>
          <w:rFonts w:hAnsi="黑体" w:eastAsia="黑体"/>
          <w:sz w:val="44"/>
          <w:szCs w:val="44"/>
        </w:rPr>
        <w:t>年度节能诊断服务机构推荐名单</w:t>
      </w:r>
    </w:p>
    <w:tbl>
      <w:tblPr>
        <w:tblStyle w:val="5"/>
        <w:tblW w:w="134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2609"/>
        <w:gridCol w:w="1360"/>
        <w:gridCol w:w="1350"/>
        <w:gridCol w:w="3265"/>
        <w:gridCol w:w="2016"/>
        <w:gridCol w:w="2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695" w:type="dxa"/>
            <w:vAlign w:val="center"/>
          </w:tcPr>
          <w:p>
            <w:pPr>
              <w:snapToGrid w:val="0"/>
              <w:jc w:val="center"/>
              <w:outlineLvl w:val="0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2609" w:type="dxa"/>
            <w:vAlign w:val="center"/>
          </w:tcPr>
          <w:p>
            <w:pPr>
              <w:snapToGrid w:val="0"/>
              <w:jc w:val="center"/>
              <w:outlineLvl w:val="0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sz w:val="28"/>
                <w:szCs w:val="28"/>
              </w:rPr>
              <w:t>机构名称</w:t>
            </w:r>
          </w:p>
        </w:tc>
        <w:tc>
          <w:tcPr>
            <w:tcW w:w="1360" w:type="dxa"/>
            <w:vAlign w:val="center"/>
          </w:tcPr>
          <w:p>
            <w:pPr>
              <w:snapToGrid w:val="0"/>
              <w:jc w:val="center"/>
              <w:outlineLvl w:val="0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sz w:val="28"/>
                <w:szCs w:val="28"/>
              </w:rPr>
              <w:t>主要服务</w:t>
            </w:r>
          </w:p>
          <w:p>
            <w:pPr>
              <w:snapToGrid w:val="0"/>
              <w:jc w:val="center"/>
              <w:outlineLvl w:val="0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sz w:val="28"/>
                <w:szCs w:val="28"/>
              </w:rPr>
              <w:t>地区</w:t>
            </w:r>
          </w:p>
        </w:tc>
        <w:tc>
          <w:tcPr>
            <w:tcW w:w="1350" w:type="dxa"/>
            <w:vAlign w:val="center"/>
          </w:tcPr>
          <w:p>
            <w:pPr>
              <w:snapToGrid w:val="0"/>
              <w:jc w:val="center"/>
              <w:outlineLvl w:val="0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sz w:val="28"/>
                <w:szCs w:val="28"/>
              </w:rPr>
              <w:t>主要服务</w:t>
            </w:r>
          </w:p>
          <w:p>
            <w:pPr>
              <w:snapToGrid w:val="0"/>
              <w:jc w:val="center"/>
              <w:outlineLvl w:val="0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sz w:val="28"/>
                <w:szCs w:val="28"/>
              </w:rPr>
              <w:t>行业</w:t>
            </w:r>
          </w:p>
        </w:tc>
        <w:tc>
          <w:tcPr>
            <w:tcW w:w="3265" w:type="dxa"/>
            <w:vAlign w:val="center"/>
          </w:tcPr>
          <w:p>
            <w:pPr>
              <w:snapToGrid w:val="0"/>
              <w:jc w:val="center"/>
              <w:outlineLvl w:val="0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sz w:val="28"/>
                <w:szCs w:val="28"/>
              </w:rPr>
              <w:t>工作基础</w:t>
            </w:r>
          </w:p>
        </w:tc>
        <w:tc>
          <w:tcPr>
            <w:tcW w:w="2016" w:type="dxa"/>
            <w:vAlign w:val="center"/>
          </w:tcPr>
          <w:p>
            <w:pPr>
              <w:snapToGrid w:val="0"/>
              <w:jc w:val="center"/>
              <w:outlineLvl w:val="0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sz w:val="28"/>
                <w:szCs w:val="28"/>
              </w:rPr>
              <w:t>备注</w:t>
            </w:r>
          </w:p>
        </w:tc>
        <w:tc>
          <w:tcPr>
            <w:tcW w:w="2173" w:type="dxa"/>
            <w:vAlign w:val="center"/>
          </w:tcPr>
          <w:p>
            <w:pPr>
              <w:snapToGrid w:val="0"/>
              <w:jc w:val="center"/>
              <w:outlineLvl w:val="0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sz w:val="28"/>
                <w:szCs w:val="28"/>
              </w:rPr>
              <w:t>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695" w:type="dxa"/>
            <w:vAlign w:val="center"/>
          </w:tcPr>
          <w:p>
            <w:pPr>
              <w:snapToGrid w:val="0"/>
              <w:jc w:val="center"/>
              <w:outlineLvl w:val="0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1</w:t>
            </w:r>
          </w:p>
        </w:tc>
        <w:tc>
          <w:tcPr>
            <w:tcW w:w="2609" w:type="dxa"/>
            <w:vAlign w:val="center"/>
          </w:tcPr>
          <w:p>
            <w:pPr>
              <w:snapToGrid w:val="0"/>
              <w:outlineLvl w:val="0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360" w:type="dxa"/>
            <w:vAlign w:val="center"/>
          </w:tcPr>
          <w:p>
            <w:pPr>
              <w:snapToGrid w:val="0"/>
              <w:outlineLvl w:val="0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>
            <w:pPr>
              <w:snapToGrid w:val="0"/>
              <w:outlineLvl w:val="0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3265" w:type="dxa"/>
            <w:vAlign w:val="center"/>
          </w:tcPr>
          <w:p>
            <w:pPr>
              <w:snapToGrid w:val="0"/>
              <w:outlineLvl w:val="0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016" w:type="dxa"/>
            <w:vAlign w:val="center"/>
          </w:tcPr>
          <w:p>
            <w:pPr>
              <w:snapToGrid w:val="0"/>
              <w:outlineLvl w:val="0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173" w:type="dxa"/>
            <w:vAlign w:val="center"/>
          </w:tcPr>
          <w:p>
            <w:pPr>
              <w:snapToGrid w:val="0"/>
              <w:outlineLvl w:val="0"/>
              <w:rPr>
                <w:rFonts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695" w:type="dxa"/>
            <w:vAlign w:val="center"/>
          </w:tcPr>
          <w:p>
            <w:pPr>
              <w:snapToGrid w:val="0"/>
              <w:jc w:val="center"/>
              <w:outlineLvl w:val="0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2</w:t>
            </w:r>
          </w:p>
        </w:tc>
        <w:tc>
          <w:tcPr>
            <w:tcW w:w="2609" w:type="dxa"/>
            <w:vAlign w:val="center"/>
          </w:tcPr>
          <w:p>
            <w:pPr>
              <w:snapToGrid w:val="0"/>
              <w:outlineLvl w:val="0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360" w:type="dxa"/>
            <w:vAlign w:val="center"/>
          </w:tcPr>
          <w:p>
            <w:pPr>
              <w:snapToGrid w:val="0"/>
              <w:outlineLvl w:val="0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>
            <w:pPr>
              <w:snapToGrid w:val="0"/>
              <w:outlineLvl w:val="0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3265" w:type="dxa"/>
            <w:vAlign w:val="center"/>
          </w:tcPr>
          <w:p>
            <w:pPr>
              <w:snapToGrid w:val="0"/>
              <w:outlineLvl w:val="0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016" w:type="dxa"/>
            <w:vAlign w:val="center"/>
          </w:tcPr>
          <w:p>
            <w:pPr>
              <w:snapToGrid w:val="0"/>
              <w:outlineLvl w:val="0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173" w:type="dxa"/>
            <w:vAlign w:val="center"/>
          </w:tcPr>
          <w:p>
            <w:pPr>
              <w:snapToGrid w:val="0"/>
              <w:outlineLvl w:val="0"/>
              <w:rPr>
                <w:rFonts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695" w:type="dxa"/>
            <w:vAlign w:val="center"/>
          </w:tcPr>
          <w:p>
            <w:pPr>
              <w:snapToGrid w:val="0"/>
              <w:jc w:val="center"/>
              <w:outlineLvl w:val="0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3</w:t>
            </w:r>
          </w:p>
        </w:tc>
        <w:tc>
          <w:tcPr>
            <w:tcW w:w="2609" w:type="dxa"/>
            <w:vAlign w:val="center"/>
          </w:tcPr>
          <w:p>
            <w:pPr>
              <w:snapToGrid w:val="0"/>
              <w:outlineLvl w:val="0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360" w:type="dxa"/>
            <w:vAlign w:val="center"/>
          </w:tcPr>
          <w:p>
            <w:pPr>
              <w:snapToGrid w:val="0"/>
              <w:outlineLvl w:val="0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>
            <w:pPr>
              <w:snapToGrid w:val="0"/>
              <w:outlineLvl w:val="0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3265" w:type="dxa"/>
            <w:vAlign w:val="center"/>
          </w:tcPr>
          <w:p>
            <w:pPr>
              <w:snapToGrid w:val="0"/>
              <w:outlineLvl w:val="0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016" w:type="dxa"/>
            <w:vAlign w:val="center"/>
          </w:tcPr>
          <w:p>
            <w:pPr>
              <w:snapToGrid w:val="0"/>
              <w:outlineLvl w:val="0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173" w:type="dxa"/>
            <w:vAlign w:val="center"/>
          </w:tcPr>
          <w:p>
            <w:pPr>
              <w:snapToGrid w:val="0"/>
              <w:outlineLvl w:val="0"/>
              <w:rPr>
                <w:rFonts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695" w:type="dxa"/>
            <w:vAlign w:val="center"/>
          </w:tcPr>
          <w:p>
            <w:pPr>
              <w:snapToGrid w:val="0"/>
              <w:jc w:val="center"/>
              <w:outlineLvl w:val="0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4</w:t>
            </w:r>
          </w:p>
        </w:tc>
        <w:tc>
          <w:tcPr>
            <w:tcW w:w="2609" w:type="dxa"/>
            <w:vAlign w:val="center"/>
          </w:tcPr>
          <w:p>
            <w:pPr>
              <w:snapToGrid w:val="0"/>
              <w:outlineLvl w:val="0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360" w:type="dxa"/>
            <w:vAlign w:val="center"/>
          </w:tcPr>
          <w:p>
            <w:pPr>
              <w:snapToGrid w:val="0"/>
              <w:outlineLvl w:val="0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>
            <w:pPr>
              <w:snapToGrid w:val="0"/>
              <w:outlineLvl w:val="0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3265" w:type="dxa"/>
            <w:vAlign w:val="center"/>
          </w:tcPr>
          <w:p>
            <w:pPr>
              <w:snapToGrid w:val="0"/>
              <w:outlineLvl w:val="0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016" w:type="dxa"/>
            <w:vAlign w:val="center"/>
          </w:tcPr>
          <w:p>
            <w:pPr>
              <w:snapToGrid w:val="0"/>
              <w:outlineLvl w:val="0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173" w:type="dxa"/>
            <w:vAlign w:val="center"/>
          </w:tcPr>
          <w:p>
            <w:pPr>
              <w:snapToGrid w:val="0"/>
              <w:outlineLvl w:val="0"/>
              <w:rPr>
                <w:rFonts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695" w:type="dxa"/>
            <w:vAlign w:val="center"/>
          </w:tcPr>
          <w:p>
            <w:pPr>
              <w:snapToGrid w:val="0"/>
              <w:jc w:val="center"/>
              <w:outlineLvl w:val="0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5</w:t>
            </w:r>
          </w:p>
        </w:tc>
        <w:tc>
          <w:tcPr>
            <w:tcW w:w="2609" w:type="dxa"/>
            <w:vAlign w:val="center"/>
          </w:tcPr>
          <w:p>
            <w:pPr>
              <w:snapToGrid w:val="0"/>
              <w:outlineLvl w:val="0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360" w:type="dxa"/>
            <w:vAlign w:val="center"/>
          </w:tcPr>
          <w:p>
            <w:pPr>
              <w:snapToGrid w:val="0"/>
              <w:outlineLvl w:val="0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>
            <w:pPr>
              <w:snapToGrid w:val="0"/>
              <w:outlineLvl w:val="0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3265" w:type="dxa"/>
            <w:vAlign w:val="center"/>
          </w:tcPr>
          <w:p>
            <w:pPr>
              <w:snapToGrid w:val="0"/>
              <w:outlineLvl w:val="0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016" w:type="dxa"/>
            <w:vAlign w:val="center"/>
          </w:tcPr>
          <w:p>
            <w:pPr>
              <w:snapToGrid w:val="0"/>
              <w:outlineLvl w:val="0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173" w:type="dxa"/>
            <w:vAlign w:val="center"/>
          </w:tcPr>
          <w:p>
            <w:pPr>
              <w:snapToGrid w:val="0"/>
              <w:outlineLvl w:val="0"/>
              <w:rPr>
                <w:rFonts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695" w:type="dxa"/>
            <w:vAlign w:val="center"/>
          </w:tcPr>
          <w:p>
            <w:pPr>
              <w:snapToGrid w:val="0"/>
              <w:jc w:val="center"/>
              <w:outlineLvl w:val="0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6</w:t>
            </w:r>
          </w:p>
        </w:tc>
        <w:tc>
          <w:tcPr>
            <w:tcW w:w="2609" w:type="dxa"/>
            <w:vAlign w:val="center"/>
          </w:tcPr>
          <w:p>
            <w:pPr>
              <w:snapToGrid w:val="0"/>
              <w:outlineLvl w:val="0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360" w:type="dxa"/>
            <w:vAlign w:val="center"/>
          </w:tcPr>
          <w:p>
            <w:pPr>
              <w:snapToGrid w:val="0"/>
              <w:outlineLvl w:val="0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>
            <w:pPr>
              <w:snapToGrid w:val="0"/>
              <w:outlineLvl w:val="0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3265" w:type="dxa"/>
            <w:vAlign w:val="center"/>
          </w:tcPr>
          <w:p>
            <w:pPr>
              <w:snapToGrid w:val="0"/>
              <w:outlineLvl w:val="0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016" w:type="dxa"/>
            <w:vAlign w:val="center"/>
          </w:tcPr>
          <w:p>
            <w:pPr>
              <w:snapToGrid w:val="0"/>
              <w:outlineLvl w:val="0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173" w:type="dxa"/>
            <w:vAlign w:val="center"/>
          </w:tcPr>
          <w:p>
            <w:pPr>
              <w:snapToGrid w:val="0"/>
              <w:outlineLvl w:val="0"/>
              <w:rPr>
                <w:rFonts w:eastAsia="黑体"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ind w:left="606" w:hanging="606" w:hangingChars="202"/>
        <w:rPr>
          <w:rFonts w:eastAsia="仿宋_GB2312"/>
          <w:sz w:val="30"/>
          <w:szCs w:val="30"/>
        </w:rPr>
      </w:pPr>
    </w:p>
    <w:p>
      <w:pPr>
        <w:adjustRightInd w:val="0"/>
        <w:snapToGrid w:val="0"/>
        <w:spacing w:line="400" w:lineRule="exact"/>
        <w:rPr>
          <w:rFonts w:eastAsia="仿宋_GB2312"/>
          <w:sz w:val="24"/>
        </w:rPr>
      </w:pPr>
      <w:r>
        <w:rPr>
          <w:rFonts w:hAnsi="仿宋_GB2312" w:eastAsia="仿宋_GB2312"/>
          <w:sz w:val="24"/>
        </w:rPr>
        <w:t>备注：</w:t>
      </w:r>
      <w:r>
        <w:rPr>
          <w:rFonts w:eastAsia="仿宋_GB2312"/>
          <w:sz w:val="24"/>
        </w:rPr>
        <w:t>1.</w:t>
      </w:r>
      <w:r>
        <w:rPr>
          <w:rFonts w:hAnsi="仿宋_GB2312" w:eastAsia="仿宋_GB2312"/>
          <w:sz w:val="24"/>
        </w:rPr>
        <w:t>机构如属于工业节能与绿色发展评价中心、绿色制造第三方评价机构、绿色制造系统解决方案供应商，请在</w:t>
      </w:r>
      <w:r>
        <w:rPr>
          <w:rFonts w:eastAsia="仿宋_GB2312"/>
          <w:sz w:val="24"/>
        </w:rPr>
        <w:t>“</w:t>
      </w:r>
      <w:r>
        <w:rPr>
          <w:rFonts w:hAnsi="仿宋_GB2312" w:eastAsia="仿宋_GB2312"/>
          <w:sz w:val="24"/>
        </w:rPr>
        <w:t>备注</w:t>
      </w:r>
      <w:r>
        <w:rPr>
          <w:rFonts w:eastAsia="仿宋_GB2312"/>
          <w:sz w:val="24"/>
        </w:rPr>
        <w:t>”</w:t>
      </w:r>
      <w:r>
        <w:rPr>
          <w:rFonts w:hAnsi="仿宋_GB2312" w:eastAsia="仿宋_GB2312"/>
          <w:sz w:val="24"/>
        </w:rPr>
        <w:t>一栏注明；</w:t>
      </w:r>
    </w:p>
    <w:p>
      <w:pPr>
        <w:adjustRightInd w:val="0"/>
        <w:snapToGrid w:val="0"/>
        <w:spacing w:line="400" w:lineRule="exact"/>
        <w:rPr>
          <w:rFonts w:eastAsia="仿宋_GB2312"/>
          <w:sz w:val="24"/>
        </w:rPr>
      </w:pPr>
      <w:r>
        <w:rPr>
          <w:rFonts w:eastAsia="仿宋_GB2312"/>
          <w:sz w:val="24"/>
        </w:rPr>
        <w:t xml:space="preserve">      2.</w:t>
      </w:r>
      <w:r>
        <w:rPr>
          <w:rFonts w:hAnsi="仿宋_GB2312" w:eastAsia="仿宋_GB2312"/>
          <w:sz w:val="24"/>
        </w:rPr>
        <w:t>工作基础请填写该机构参与节能诊断服务工作情况，包括服务企业数量、主要服务的行业和领域等。</w:t>
      </w:r>
    </w:p>
    <w:p>
      <w:pPr>
        <w:adjustRightInd w:val="0"/>
        <w:snapToGrid w:val="0"/>
        <w:spacing w:line="400" w:lineRule="exact"/>
        <w:rPr>
          <w:rFonts w:eastAsia="仿宋_GB2312"/>
          <w:sz w:val="24"/>
        </w:rPr>
        <w:sectPr>
          <w:footerReference r:id="rId3" w:type="first"/>
          <w:pgSz w:w="16838" w:h="11906" w:orient="landscape"/>
          <w:pgMar w:top="1587" w:right="2098" w:bottom="1474" w:left="1440" w:header="851" w:footer="992" w:gutter="0"/>
          <w:cols w:space="720" w:num="1"/>
          <w:titlePg/>
          <w:docGrid w:linePitch="312" w:charSpace="0"/>
        </w:sectPr>
      </w:pPr>
    </w:p>
    <w:p>
      <w:pPr>
        <w:spacing w:line="480" w:lineRule="auto"/>
        <w:outlineLvl w:val="0"/>
        <w:rPr>
          <w:rFonts w:eastAsia="方正小标宋简体"/>
          <w:sz w:val="44"/>
          <w:szCs w:val="44"/>
        </w:rPr>
      </w:pPr>
      <w:r>
        <w:rPr>
          <w:rFonts w:hAnsi="黑体" w:eastAsia="黑体"/>
          <w:sz w:val="32"/>
        </w:rPr>
        <w:t>附件</w:t>
      </w:r>
      <w:r>
        <w:rPr>
          <w:rFonts w:eastAsia="黑体"/>
          <w:sz w:val="32"/>
        </w:rPr>
        <w:t>2</w:t>
      </w:r>
    </w:p>
    <w:p>
      <w:pPr>
        <w:spacing w:after="100" w:afterAutospacing="1" w:line="288" w:lineRule="auto"/>
        <w:jc w:val="center"/>
        <w:outlineLvl w:val="0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2021</w:t>
      </w:r>
      <w:r>
        <w:rPr>
          <w:rFonts w:hAnsi="方正小标宋简体" w:eastAsia="方正小标宋简体"/>
          <w:sz w:val="44"/>
          <w:szCs w:val="44"/>
        </w:rPr>
        <w:t>年度节能诊断服务意向企业名单</w:t>
      </w:r>
    </w:p>
    <w:tbl>
      <w:tblPr>
        <w:tblStyle w:val="5"/>
        <w:tblW w:w="144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984"/>
        <w:gridCol w:w="924"/>
        <w:gridCol w:w="981"/>
        <w:gridCol w:w="1648"/>
        <w:gridCol w:w="1186"/>
        <w:gridCol w:w="2074"/>
        <w:gridCol w:w="1704"/>
        <w:gridCol w:w="1388"/>
        <w:gridCol w:w="1328"/>
        <w:gridCol w:w="1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9" w:hRule="atLeast"/>
          <w:jc w:val="center"/>
        </w:trPr>
        <w:tc>
          <w:tcPr>
            <w:tcW w:w="935" w:type="dxa"/>
            <w:vAlign w:val="center"/>
          </w:tcPr>
          <w:p>
            <w:pPr>
              <w:snapToGrid w:val="0"/>
              <w:jc w:val="center"/>
              <w:outlineLvl w:val="0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984" w:type="dxa"/>
            <w:vAlign w:val="center"/>
          </w:tcPr>
          <w:p>
            <w:pPr>
              <w:snapToGrid w:val="0"/>
              <w:jc w:val="center"/>
              <w:outlineLvl w:val="0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sz w:val="28"/>
                <w:szCs w:val="28"/>
              </w:rPr>
              <w:t>所在</w:t>
            </w:r>
          </w:p>
          <w:p>
            <w:pPr>
              <w:snapToGrid w:val="0"/>
              <w:jc w:val="center"/>
              <w:outlineLvl w:val="0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sz w:val="28"/>
                <w:szCs w:val="28"/>
              </w:rPr>
              <w:t>地市</w:t>
            </w:r>
          </w:p>
        </w:tc>
        <w:tc>
          <w:tcPr>
            <w:tcW w:w="924" w:type="dxa"/>
            <w:vAlign w:val="center"/>
          </w:tcPr>
          <w:p>
            <w:pPr>
              <w:snapToGrid w:val="0"/>
              <w:jc w:val="center"/>
              <w:outlineLvl w:val="0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sz w:val="28"/>
                <w:szCs w:val="28"/>
              </w:rPr>
              <w:t>所在</w:t>
            </w:r>
          </w:p>
          <w:p>
            <w:pPr>
              <w:snapToGrid w:val="0"/>
              <w:jc w:val="center"/>
              <w:outlineLvl w:val="0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sz w:val="28"/>
                <w:szCs w:val="28"/>
              </w:rPr>
              <w:t>区县</w:t>
            </w:r>
          </w:p>
        </w:tc>
        <w:tc>
          <w:tcPr>
            <w:tcW w:w="981" w:type="dxa"/>
            <w:vAlign w:val="center"/>
          </w:tcPr>
          <w:p>
            <w:pPr>
              <w:snapToGrid w:val="0"/>
              <w:jc w:val="center"/>
              <w:outlineLvl w:val="0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sz w:val="28"/>
                <w:szCs w:val="28"/>
              </w:rPr>
              <w:t>所属</w:t>
            </w:r>
          </w:p>
          <w:p>
            <w:pPr>
              <w:snapToGrid w:val="0"/>
              <w:jc w:val="center"/>
              <w:outlineLvl w:val="0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sz w:val="28"/>
                <w:szCs w:val="28"/>
              </w:rPr>
              <w:t>行业</w:t>
            </w:r>
          </w:p>
        </w:tc>
        <w:tc>
          <w:tcPr>
            <w:tcW w:w="1648" w:type="dxa"/>
            <w:vAlign w:val="center"/>
          </w:tcPr>
          <w:p>
            <w:pPr>
              <w:snapToGrid w:val="0"/>
              <w:jc w:val="center"/>
              <w:outlineLvl w:val="0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sz w:val="28"/>
                <w:szCs w:val="28"/>
              </w:rPr>
              <w:t>企业名称</w:t>
            </w:r>
          </w:p>
        </w:tc>
        <w:tc>
          <w:tcPr>
            <w:tcW w:w="1186" w:type="dxa"/>
            <w:vAlign w:val="center"/>
          </w:tcPr>
          <w:p>
            <w:pPr>
              <w:snapToGrid w:val="0"/>
              <w:jc w:val="center"/>
              <w:outlineLvl w:val="0"/>
              <w:rPr>
                <w:rFonts w:eastAsia="仿宋_GB2312"/>
                <w:sz w:val="28"/>
                <w:szCs w:val="28"/>
                <w:highlight w:val="yellow"/>
              </w:rPr>
            </w:pPr>
            <w:r>
              <w:rPr>
                <w:rFonts w:hAnsi="仿宋_GB2312" w:eastAsia="仿宋_GB2312"/>
                <w:sz w:val="28"/>
                <w:szCs w:val="28"/>
              </w:rPr>
              <w:t>组织机构代码</w:t>
            </w:r>
          </w:p>
        </w:tc>
        <w:tc>
          <w:tcPr>
            <w:tcW w:w="2074" w:type="dxa"/>
            <w:vAlign w:val="center"/>
          </w:tcPr>
          <w:p>
            <w:pPr>
              <w:snapToGrid w:val="0"/>
              <w:jc w:val="center"/>
              <w:outlineLvl w:val="0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sz w:val="28"/>
                <w:szCs w:val="28"/>
              </w:rPr>
              <w:t>上年度综合能源消费量</w:t>
            </w:r>
          </w:p>
          <w:p>
            <w:pPr>
              <w:snapToGrid w:val="0"/>
              <w:jc w:val="center"/>
              <w:outlineLvl w:val="0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sz w:val="28"/>
                <w:szCs w:val="28"/>
              </w:rPr>
              <w:t>（吨标准煤）</w:t>
            </w:r>
          </w:p>
        </w:tc>
        <w:tc>
          <w:tcPr>
            <w:tcW w:w="1704" w:type="dxa"/>
            <w:vAlign w:val="center"/>
          </w:tcPr>
          <w:p>
            <w:pPr>
              <w:snapToGrid w:val="0"/>
              <w:jc w:val="center"/>
              <w:outlineLvl w:val="0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sz w:val="28"/>
                <w:szCs w:val="28"/>
              </w:rPr>
              <w:t>节能诊断</w:t>
            </w:r>
          </w:p>
          <w:p>
            <w:pPr>
              <w:snapToGrid w:val="0"/>
              <w:jc w:val="center"/>
              <w:outlineLvl w:val="0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sz w:val="28"/>
                <w:szCs w:val="28"/>
              </w:rPr>
              <w:t>类型［</w:t>
            </w:r>
            <w:r>
              <w:rPr>
                <w:rFonts w:hAnsi="仿宋_GB2312" w:eastAsia="仿宋_GB2312"/>
                <w:sz w:val="24"/>
              </w:rPr>
              <w:t>⑴</w:t>
            </w:r>
            <w:r>
              <w:rPr>
                <w:rFonts w:eastAsia="仿宋_GB2312"/>
                <w:sz w:val="24"/>
              </w:rPr>
              <w:t>-</w:t>
            </w:r>
            <w:r>
              <w:rPr>
                <w:rFonts w:hAnsi="仿宋_GB2312" w:eastAsia="仿宋_GB2312"/>
                <w:sz w:val="24"/>
              </w:rPr>
              <w:t>⑸，详见备注</w:t>
            </w:r>
            <w:r>
              <w:rPr>
                <w:rFonts w:eastAsia="仿宋_GB2312"/>
                <w:sz w:val="24"/>
              </w:rPr>
              <w:t>2</w:t>
            </w:r>
            <w:r>
              <w:rPr>
                <w:rFonts w:hAnsi="仿宋_GB2312" w:eastAsia="仿宋_GB2312"/>
                <w:sz w:val="28"/>
                <w:szCs w:val="28"/>
              </w:rPr>
              <w:t>］</w:t>
            </w:r>
          </w:p>
        </w:tc>
        <w:tc>
          <w:tcPr>
            <w:tcW w:w="1388" w:type="dxa"/>
            <w:vAlign w:val="center"/>
          </w:tcPr>
          <w:p>
            <w:pPr>
              <w:snapToGrid w:val="0"/>
              <w:jc w:val="center"/>
              <w:outlineLvl w:val="0"/>
              <w:rPr>
                <w:rFonts w:eastAsia="仿宋_GB2312"/>
                <w:sz w:val="28"/>
                <w:szCs w:val="28"/>
                <w:highlight w:val="yellow"/>
              </w:rPr>
            </w:pPr>
            <w:r>
              <w:rPr>
                <w:rFonts w:hAnsi="仿宋_GB2312" w:eastAsia="仿宋_GB2312"/>
                <w:sz w:val="28"/>
                <w:szCs w:val="28"/>
              </w:rPr>
              <w:t>提供服务的机构</w:t>
            </w:r>
          </w:p>
        </w:tc>
        <w:tc>
          <w:tcPr>
            <w:tcW w:w="1328" w:type="dxa"/>
            <w:vAlign w:val="center"/>
          </w:tcPr>
          <w:p>
            <w:pPr>
              <w:snapToGrid w:val="0"/>
              <w:jc w:val="center"/>
              <w:outlineLvl w:val="0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sz w:val="28"/>
                <w:szCs w:val="28"/>
              </w:rPr>
              <w:t>是否</w:t>
            </w:r>
          </w:p>
          <w:p>
            <w:pPr>
              <w:snapToGrid w:val="0"/>
              <w:jc w:val="center"/>
              <w:outlineLvl w:val="0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sz w:val="28"/>
                <w:szCs w:val="28"/>
              </w:rPr>
              <w:t>中小企业</w:t>
            </w:r>
          </w:p>
        </w:tc>
        <w:tc>
          <w:tcPr>
            <w:tcW w:w="1293" w:type="dxa"/>
            <w:vAlign w:val="center"/>
          </w:tcPr>
          <w:p>
            <w:pPr>
              <w:snapToGrid w:val="0"/>
              <w:jc w:val="center"/>
              <w:outlineLvl w:val="0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 w:eastAsia="仿宋_GB2312"/>
                <w:sz w:val="28"/>
                <w:szCs w:val="28"/>
              </w:rPr>
              <w:t>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35" w:type="dxa"/>
            <w:vAlign w:val="center"/>
          </w:tcPr>
          <w:p>
            <w:pPr>
              <w:snapToGrid w:val="0"/>
              <w:jc w:val="center"/>
              <w:outlineLvl w:val="0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1</w:t>
            </w:r>
          </w:p>
        </w:tc>
        <w:tc>
          <w:tcPr>
            <w:tcW w:w="984" w:type="dxa"/>
            <w:vAlign w:val="center"/>
          </w:tcPr>
          <w:p>
            <w:pPr>
              <w:snapToGrid w:val="0"/>
              <w:outlineLvl w:val="0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924" w:type="dxa"/>
            <w:vAlign w:val="center"/>
          </w:tcPr>
          <w:p>
            <w:pPr>
              <w:snapToGrid w:val="0"/>
              <w:outlineLvl w:val="0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981" w:type="dxa"/>
            <w:vAlign w:val="center"/>
          </w:tcPr>
          <w:p>
            <w:pPr>
              <w:snapToGrid w:val="0"/>
              <w:outlineLvl w:val="0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648" w:type="dxa"/>
            <w:vAlign w:val="center"/>
          </w:tcPr>
          <w:p>
            <w:pPr>
              <w:snapToGrid w:val="0"/>
              <w:outlineLvl w:val="0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186" w:type="dxa"/>
            <w:vAlign w:val="center"/>
          </w:tcPr>
          <w:p>
            <w:pPr>
              <w:snapToGrid w:val="0"/>
              <w:outlineLvl w:val="0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074" w:type="dxa"/>
            <w:vAlign w:val="center"/>
          </w:tcPr>
          <w:p>
            <w:pPr>
              <w:snapToGrid w:val="0"/>
              <w:outlineLvl w:val="0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>
            <w:pPr>
              <w:snapToGrid w:val="0"/>
              <w:outlineLvl w:val="0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388" w:type="dxa"/>
            <w:vAlign w:val="center"/>
          </w:tcPr>
          <w:p>
            <w:pPr>
              <w:snapToGrid w:val="0"/>
              <w:outlineLvl w:val="0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328" w:type="dxa"/>
            <w:vAlign w:val="center"/>
          </w:tcPr>
          <w:p>
            <w:pPr>
              <w:snapToGrid w:val="0"/>
              <w:outlineLvl w:val="0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293" w:type="dxa"/>
            <w:vAlign w:val="center"/>
          </w:tcPr>
          <w:p>
            <w:pPr>
              <w:snapToGrid w:val="0"/>
              <w:outlineLvl w:val="0"/>
              <w:rPr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35" w:type="dxa"/>
            <w:vAlign w:val="center"/>
          </w:tcPr>
          <w:p>
            <w:pPr>
              <w:snapToGrid w:val="0"/>
              <w:jc w:val="center"/>
              <w:outlineLvl w:val="0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2</w:t>
            </w:r>
          </w:p>
        </w:tc>
        <w:tc>
          <w:tcPr>
            <w:tcW w:w="984" w:type="dxa"/>
            <w:vAlign w:val="center"/>
          </w:tcPr>
          <w:p>
            <w:pPr>
              <w:snapToGrid w:val="0"/>
              <w:outlineLvl w:val="0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924" w:type="dxa"/>
            <w:vAlign w:val="center"/>
          </w:tcPr>
          <w:p>
            <w:pPr>
              <w:snapToGrid w:val="0"/>
              <w:outlineLvl w:val="0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981" w:type="dxa"/>
            <w:vAlign w:val="center"/>
          </w:tcPr>
          <w:p>
            <w:pPr>
              <w:snapToGrid w:val="0"/>
              <w:outlineLvl w:val="0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648" w:type="dxa"/>
            <w:vAlign w:val="center"/>
          </w:tcPr>
          <w:p>
            <w:pPr>
              <w:snapToGrid w:val="0"/>
              <w:outlineLvl w:val="0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186" w:type="dxa"/>
            <w:vAlign w:val="center"/>
          </w:tcPr>
          <w:p>
            <w:pPr>
              <w:snapToGrid w:val="0"/>
              <w:outlineLvl w:val="0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074" w:type="dxa"/>
            <w:vAlign w:val="center"/>
          </w:tcPr>
          <w:p>
            <w:pPr>
              <w:snapToGrid w:val="0"/>
              <w:outlineLvl w:val="0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>
            <w:pPr>
              <w:snapToGrid w:val="0"/>
              <w:outlineLvl w:val="0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388" w:type="dxa"/>
            <w:vAlign w:val="center"/>
          </w:tcPr>
          <w:p>
            <w:pPr>
              <w:snapToGrid w:val="0"/>
              <w:outlineLvl w:val="0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328" w:type="dxa"/>
            <w:vAlign w:val="center"/>
          </w:tcPr>
          <w:p>
            <w:pPr>
              <w:snapToGrid w:val="0"/>
              <w:outlineLvl w:val="0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293" w:type="dxa"/>
            <w:vAlign w:val="center"/>
          </w:tcPr>
          <w:p>
            <w:pPr>
              <w:snapToGrid w:val="0"/>
              <w:outlineLvl w:val="0"/>
              <w:rPr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35" w:type="dxa"/>
            <w:vAlign w:val="center"/>
          </w:tcPr>
          <w:p>
            <w:pPr>
              <w:snapToGrid w:val="0"/>
              <w:jc w:val="center"/>
              <w:outlineLvl w:val="0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…</w:t>
            </w:r>
          </w:p>
        </w:tc>
        <w:tc>
          <w:tcPr>
            <w:tcW w:w="984" w:type="dxa"/>
            <w:vAlign w:val="center"/>
          </w:tcPr>
          <w:p>
            <w:pPr>
              <w:snapToGrid w:val="0"/>
              <w:outlineLvl w:val="0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924" w:type="dxa"/>
            <w:vAlign w:val="center"/>
          </w:tcPr>
          <w:p>
            <w:pPr>
              <w:snapToGrid w:val="0"/>
              <w:outlineLvl w:val="0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981" w:type="dxa"/>
            <w:vAlign w:val="center"/>
          </w:tcPr>
          <w:p>
            <w:pPr>
              <w:snapToGrid w:val="0"/>
              <w:outlineLvl w:val="0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648" w:type="dxa"/>
            <w:vAlign w:val="center"/>
          </w:tcPr>
          <w:p>
            <w:pPr>
              <w:snapToGrid w:val="0"/>
              <w:outlineLvl w:val="0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186" w:type="dxa"/>
            <w:vAlign w:val="center"/>
          </w:tcPr>
          <w:p>
            <w:pPr>
              <w:snapToGrid w:val="0"/>
              <w:outlineLvl w:val="0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074" w:type="dxa"/>
            <w:vAlign w:val="center"/>
          </w:tcPr>
          <w:p>
            <w:pPr>
              <w:snapToGrid w:val="0"/>
              <w:outlineLvl w:val="0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>
            <w:pPr>
              <w:snapToGrid w:val="0"/>
              <w:outlineLvl w:val="0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388" w:type="dxa"/>
            <w:vAlign w:val="center"/>
          </w:tcPr>
          <w:p>
            <w:pPr>
              <w:snapToGrid w:val="0"/>
              <w:outlineLvl w:val="0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328" w:type="dxa"/>
            <w:vAlign w:val="center"/>
          </w:tcPr>
          <w:p>
            <w:pPr>
              <w:snapToGrid w:val="0"/>
              <w:outlineLvl w:val="0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293" w:type="dxa"/>
            <w:vAlign w:val="center"/>
          </w:tcPr>
          <w:p>
            <w:pPr>
              <w:snapToGrid w:val="0"/>
              <w:outlineLvl w:val="0"/>
              <w:rPr>
                <w:rFonts w:eastAsia="仿宋"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rPr>
          <w:rFonts w:eastAsia="仿宋_GB2312"/>
          <w:sz w:val="28"/>
          <w:szCs w:val="28"/>
        </w:rPr>
      </w:pPr>
      <w:r>
        <w:rPr>
          <w:rFonts w:hAnsi="仿宋_GB2312" w:eastAsia="仿宋_GB2312"/>
          <w:sz w:val="28"/>
          <w:szCs w:val="28"/>
        </w:rPr>
        <w:t>地市联系人：</w:t>
      </w:r>
      <w:r>
        <w:rPr>
          <w:rFonts w:eastAsia="仿宋_GB2312"/>
          <w:sz w:val="28"/>
          <w:szCs w:val="28"/>
        </w:rPr>
        <w:t xml:space="preserve">                       </w:t>
      </w:r>
      <w:r>
        <w:rPr>
          <w:rFonts w:hAnsi="仿宋_GB2312" w:eastAsia="仿宋_GB2312"/>
          <w:sz w:val="28"/>
          <w:szCs w:val="28"/>
        </w:rPr>
        <w:t>联系电话：</w:t>
      </w:r>
    </w:p>
    <w:p>
      <w:pPr>
        <w:adjustRightInd w:val="0"/>
        <w:snapToGrid w:val="0"/>
        <w:rPr>
          <w:rFonts w:eastAsia="仿宋_GB2312"/>
          <w:sz w:val="24"/>
        </w:rPr>
      </w:pPr>
    </w:p>
    <w:p>
      <w:pPr>
        <w:adjustRightInd w:val="0"/>
        <w:snapToGrid w:val="0"/>
        <w:spacing w:line="400" w:lineRule="exact"/>
        <w:rPr>
          <w:rFonts w:eastAsia="仿宋_GB2312"/>
          <w:sz w:val="24"/>
        </w:rPr>
      </w:pPr>
      <w:r>
        <w:rPr>
          <w:rFonts w:hAnsi="仿宋_GB2312" w:eastAsia="仿宋_GB2312"/>
          <w:sz w:val="24"/>
        </w:rPr>
        <w:t>备注：</w:t>
      </w:r>
      <w:r>
        <w:rPr>
          <w:rFonts w:eastAsia="仿宋_GB2312"/>
          <w:sz w:val="24"/>
        </w:rPr>
        <w:t>1.</w:t>
      </w:r>
      <w:r>
        <w:rPr>
          <w:rFonts w:hAnsi="仿宋_GB2312" w:eastAsia="仿宋_GB2312"/>
          <w:sz w:val="24"/>
        </w:rPr>
        <w:t>每家接受节能诊断服务的企业只对应一家机构，由同一家机构提供服务的企业应列在一起；</w:t>
      </w:r>
    </w:p>
    <w:p>
      <w:pPr>
        <w:adjustRightInd w:val="0"/>
        <w:snapToGrid w:val="0"/>
        <w:spacing w:line="400" w:lineRule="exact"/>
        <w:ind w:firstLine="570"/>
        <w:rPr>
          <w:rFonts w:eastAsia="仿宋_GB2312"/>
          <w:sz w:val="24"/>
        </w:rPr>
      </w:pPr>
      <w:r>
        <w:rPr>
          <w:rFonts w:eastAsia="仿宋_GB2312"/>
          <w:sz w:val="24"/>
        </w:rPr>
        <w:t xml:space="preserve"> 2.</w:t>
      </w:r>
      <w:r>
        <w:rPr>
          <w:rFonts w:hAnsi="仿宋_GB2312" w:eastAsia="仿宋_GB2312"/>
          <w:sz w:val="24"/>
        </w:rPr>
        <w:t>节能诊断类型包括：⑴重点行业节能诊断、⑵中小企业节能诊断、⑶重点用能设备节能诊断、⑷区域集中式节</w:t>
      </w:r>
    </w:p>
    <w:p>
      <w:pPr>
        <w:adjustRightInd w:val="0"/>
        <w:snapToGrid w:val="0"/>
        <w:spacing w:line="400" w:lineRule="exact"/>
        <w:ind w:firstLine="890" w:firstLineChars="371"/>
        <w:rPr>
          <w:rFonts w:eastAsia="仿宋_GB2312"/>
          <w:sz w:val="24"/>
        </w:rPr>
      </w:pPr>
      <w:r>
        <w:rPr>
          <w:rFonts w:hAnsi="仿宋_GB2312" w:eastAsia="仿宋_GB2312"/>
          <w:sz w:val="24"/>
        </w:rPr>
        <w:t>能诊断和⑸节能诊断跟踪服务；</w:t>
      </w:r>
    </w:p>
    <w:p>
      <w:pPr>
        <w:adjustRightInd w:val="0"/>
        <w:snapToGrid w:val="0"/>
        <w:spacing w:line="400" w:lineRule="exact"/>
        <w:ind w:firstLine="640"/>
        <w:rPr>
          <w:rFonts w:eastAsia="仿宋_GB2312"/>
          <w:sz w:val="24"/>
        </w:rPr>
      </w:pPr>
      <w:r>
        <w:rPr>
          <w:rFonts w:eastAsia="仿宋_GB2312"/>
          <w:sz w:val="24"/>
        </w:rPr>
        <w:t>3.</w:t>
      </w:r>
      <w:r>
        <w:rPr>
          <w:rFonts w:hAnsi="仿宋_GB2312" w:eastAsia="仿宋_GB2312"/>
          <w:sz w:val="24"/>
        </w:rPr>
        <w:t>区域集中式节能诊断请在备注注明企业所在的工业园区、产业聚集区，同一区域企业应列在一起；</w:t>
      </w:r>
    </w:p>
    <w:p>
      <w:pPr>
        <w:spacing w:line="400" w:lineRule="exact"/>
        <w:outlineLvl w:val="0"/>
        <w:rPr>
          <w:rFonts w:eastAsia="仿宋_GB2312"/>
          <w:sz w:val="24"/>
        </w:rPr>
      </w:pPr>
      <w:r>
        <w:rPr>
          <w:rFonts w:eastAsia="仿宋_GB2312"/>
          <w:sz w:val="24"/>
        </w:rPr>
        <w:t xml:space="preserve">     4.</w:t>
      </w:r>
      <w:r>
        <w:rPr>
          <w:rFonts w:hAnsi="仿宋_GB2312" w:eastAsia="仿宋_GB2312"/>
          <w:sz w:val="24"/>
        </w:rPr>
        <w:t>依据《关于印发中小企业划型标准规定的通知》（工信部联企业〔</w:t>
      </w:r>
      <w:r>
        <w:rPr>
          <w:rFonts w:eastAsia="仿宋_GB2312"/>
          <w:sz w:val="24"/>
        </w:rPr>
        <w:t>2011</w:t>
      </w:r>
      <w:r>
        <w:rPr>
          <w:rFonts w:hAnsi="仿宋_GB2312" w:eastAsia="仿宋_GB2312"/>
          <w:sz w:val="24"/>
        </w:rPr>
        <w:t>〕</w:t>
      </w:r>
      <w:r>
        <w:rPr>
          <w:rFonts w:eastAsia="仿宋_GB2312"/>
          <w:sz w:val="24"/>
        </w:rPr>
        <w:t>300</w:t>
      </w:r>
      <w:r>
        <w:rPr>
          <w:rFonts w:hAnsi="仿宋_GB2312" w:eastAsia="仿宋_GB2312"/>
          <w:sz w:val="24"/>
        </w:rPr>
        <w:t>号），从业人员</w:t>
      </w:r>
      <w:r>
        <w:rPr>
          <w:rFonts w:eastAsia="仿宋_GB2312"/>
          <w:sz w:val="24"/>
        </w:rPr>
        <w:t>1000</w:t>
      </w:r>
      <w:r>
        <w:rPr>
          <w:rFonts w:eastAsia="仿宋_GB2312"/>
          <w:sz w:val="24"/>
        </w:rPr>
        <w:tab/>
      </w:r>
      <w:r>
        <w:rPr>
          <w:rFonts w:hAnsi="仿宋_GB2312" w:eastAsia="仿宋_GB2312"/>
          <w:sz w:val="24"/>
        </w:rPr>
        <w:t>人以下或营业收入</w:t>
      </w:r>
      <w:r>
        <w:rPr>
          <w:rFonts w:eastAsia="仿宋_GB2312"/>
          <w:sz w:val="24"/>
        </w:rPr>
        <w:t>40000</w:t>
      </w:r>
      <w:r>
        <w:rPr>
          <w:rFonts w:hAnsi="仿宋_GB2312" w:eastAsia="仿宋_GB2312"/>
          <w:sz w:val="24"/>
        </w:rPr>
        <w:t>万元以下的为中小微型企业。其中，从业人员</w:t>
      </w:r>
      <w:r>
        <w:rPr>
          <w:rFonts w:eastAsia="仿宋_GB2312"/>
          <w:sz w:val="24"/>
        </w:rPr>
        <w:t>300</w:t>
      </w:r>
      <w:r>
        <w:rPr>
          <w:rFonts w:hAnsi="仿宋_GB2312" w:eastAsia="仿宋_GB2312"/>
          <w:sz w:val="24"/>
        </w:rPr>
        <w:t>人及以上，且营业收入</w:t>
      </w:r>
      <w:r>
        <w:rPr>
          <w:rFonts w:eastAsia="仿宋_GB2312"/>
          <w:sz w:val="24"/>
        </w:rPr>
        <w:tab/>
      </w:r>
      <w:r>
        <w:rPr>
          <w:rFonts w:eastAsia="仿宋_GB2312"/>
          <w:sz w:val="24"/>
        </w:rPr>
        <w:t>2000</w:t>
      </w:r>
      <w:r>
        <w:rPr>
          <w:rFonts w:hAnsi="仿宋_GB2312" w:eastAsia="仿宋_GB2312"/>
          <w:sz w:val="24"/>
        </w:rPr>
        <w:t>万元及以上的为中型企业；从业人员</w:t>
      </w:r>
      <w:r>
        <w:rPr>
          <w:rFonts w:eastAsia="仿宋_GB2312"/>
          <w:sz w:val="24"/>
        </w:rPr>
        <w:t>20</w:t>
      </w:r>
      <w:r>
        <w:rPr>
          <w:rFonts w:hAnsi="仿宋_GB2312" w:eastAsia="仿宋_GB2312"/>
          <w:sz w:val="24"/>
        </w:rPr>
        <w:t>人及以上，且营业收入</w:t>
      </w:r>
      <w:r>
        <w:rPr>
          <w:rFonts w:eastAsia="仿宋_GB2312"/>
          <w:sz w:val="24"/>
        </w:rPr>
        <w:t>300</w:t>
      </w:r>
      <w:r>
        <w:rPr>
          <w:rFonts w:hAnsi="仿宋_GB2312" w:eastAsia="仿宋_GB2312"/>
          <w:sz w:val="24"/>
        </w:rPr>
        <w:t>万元及以上的为小型企业。如属于中小企业，请注明企业具体所属类型。</w:t>
      </w:r>
    </w:p>
    <w:p>
      <w:pPr>
        <w:spacing w:line="480" w:lineRule="auto"/>
        <w:outlineLvl w:val="0"/>
        <w:rPr>
          <w:rFonts w:eastAsia="黑体"/>
          <w:sz w:val="32"/>
        </w:rPr>
      </w:pPr>
      <w:r>
        <w:rPr>
          <w:rFonts w:eastAsia="黑体"/>
          <w:sz w:val="32"/>
        </w:rPr>
        <w:br w:type="page"/>
      </w:r>
      <w:r>
        <w:rPr>
          <w:rFonts w:hAnsi="黑体" w:eastAsia="黑体"/>
          <w:sz w:val="32"/>
        </w:rPr>
        <w:t>附件</w:t>
      </w:r>
      <w:r>
        <w:rPr>
          <w:rFonts w:eastAsia="黑体"/>
          <w:sz w:val="32"/>
        </w:rPr>
        <w:t>3</w:t>
      </w:r>
    </w:p>
    <w:p>
      <w:pPr>
        <w:spacing w:line="360" w:lineRule="auto"/>
        <w:jc w:val="center"/>
        <w:outlineLvl w:val="0"/>
        <w:rPr>
          <w:rFonts w:eastAsia="仿宋"/>
          <w:sz w:val="30"/>
        </w:rPr>
      </w:pPr>
      <w:r>
        <w:rPr>
          <w:rFonts w:eastAsia="方正小标宋简体"/>
          <w:sz w:val="44"/>
          <w:szCs w:val="44"/>
        </w:rPr>
        <w:t>2021</w:t>
      </w:r>
      <w:r>
        <w:rPr>
          <w:rFonts w:hAnsi="方正小标宋简体" w:eastAsia="方正小标宋简体"/>
          <w:sz w:val="44"/>
          <w:szCs w:val="44"/>
        </w:rPr>
        <w:t>年度节能诊断服务工作总结（提纲）</w:t>
      </w:r>
    </w:p>
    <w:p>
      <w:pPr>
        <w:spacing w:line="560" w:lineRule="exact"/>
        <w:ind w:left="601"/>
        <w:rPr>
          <w:rFonts w:eastAsia="黑体"/>
          <w:sz w:val="32"/>
        </w:rPr>
      </w:pPr>
      <w:r>
        <w:rPr>
          <w:rFonts w:eastAsia="黑体"/>
          <w:sz w:val="32"/>
        </w:rPr>
        <w:t>一、组织实施情况</w:t>
      </w:r>
    </w:p>
    <w:p>
      <w:pPr>
        <w:spacing w:line="560" w:lineRule="exact"/>
        <w:ind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</w:rPr>
        <w:t>对照年度工作计划、服务意向企业名单等，从计划编制、任务对接、进展调度、项目验收等方面，梳理总结年度节能诊断工作组织实施的总体情况。</w:t>
      </w:r>
    </w:p>
    <w:p>
      <w:pPr>
        <w:spacing w:line="560" w:lineRule="exact"/>
        <w:ind w:left="601"/>
        <w:rPr>
          <w:rFonts w:eastAsia="黑体"/>
          <w:sz w:val="32"/>
        </w:rPr>
      </w:pPr>
      <w:r>
        <w:rPr>
          <w:rFonts w:eastAsia="黑体"/>
          <w:sz w:val="32"/>
        </w:rPr>
        <w:t>二、节能诊断成果</w:t>
      </w:r>
    </w:p>
    <w:p>
      <w:pPr>
        <w:spacing w:line="560" w:lineRule="exact"/>
        <w:ind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</w:rPr>
        <w:t>分行业分地区汇总分析本年度节能诊断服务结果。从节能改造措施建议类型、涉及的主要工艺或用能设备等方面，梳理节能改造措施建议，评估预期节能效果、经济效益和社会效益（可附表）。</w:t>
      </w:r>
    </w:p>
    <w:p>
      <w:pPr>
        <w:spacing w:line="560" w:lineRule="exact"/>
        <w:ind w:left="601"/>
        <w:rPr>
          <w:rFonts w:eastAsia="黑体"/>
          <w:sz w:val="32"/>
        </w:rPr>
      </w:pPr>
      <w:r>
        <w:rPr>
          <w:rFonts w:eastAsia="黑体"/>
          <w:sz w:val="32"/>
        </w:rPr>
        <w:t>三、前期节能改造措施建议落实情况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</w:rPr>
      </w:pPr>
      <w:r>
        <w:rPr>
          <w:rFonts w:eastAsia="仿宋_GB2312"/>
          <w:sz w:val="32"/>
        </w:rPr>
        <w:t>根据跟踪回访情况，分地区分行业汇总分析2019年、2020年接受节能诊断服务企业的节能改造措施落实情况，评估已实施节能改造项目实际产生的节能效果、经济效益和社会效益（可附表）。</w:t>
      </w:r>
    </w:p>
    <w:p>
      <w:pPr>
        <w:spacing w:line="560" w:lineRule="exact"/>
        <w:ind w:firstLine="640" w:firstLineChars="200"/>
        <w:rPr>
          <w:rFonts w:eastAsia="仿宋_GB2312"/>
          <w:sz w:val="32"/>
        </w:rPr>
      </w:pPr>
    </w:p>
    <w:p>
      <w:pPr>
        <w:spacing w:line="560" w:lineRule="exact"/>
        <w:ind w:left="601"/>
        <w:rPr>
          <w:rFonts w:eastAsia="黑体"/>
          <w:sz w:val="32"/>
        </w:rPr>
      </w:pPr>
      <w:r>
        <w:rPr>
          <w:rFonts w:eastAsia="黑体"/>
          <w:sz w:val="32"/>
        </w:rPr>
        <w:t>四、工作经验和建议</w:t>
      </w:r>
    </w:p>
    <w:p>
      <w:pPr>
        <w:spacing w:line="560" w:lineRule="exact"/>
        <w:ind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</w:rPr>
        <w:t>从工作统筹协同、服务模式创新、市场化机制建设等方面，总结本地区（行业、企业集团）组织实施节能诊断服务、推动诊断结果应用的主要经验，分析存在的问题，研究提出深入开展节能诊断服务，强化工业节能管理的措施建议。</w:t>
      </w:r>
    </w:p>
    <w:p>
      <w:pPr>
        <w:spacing w:line="560" w:lineRule="exact"/>
        <w:ind w:left="601"/>
        <w:rPr>
          <w:rFonts w:eastAsia="黑体"/>
          <w:sz w:val="32"/>
        </w:rPr>
      </w:pPr>
      <w:r>
        <w:rPr>
          <w:rFonts w:eastAsia="黑体"/>
          <w:sz w:val="32"/>
        </w:rPr>
        <w:t>附：优秀案例</w:t>
      </w:r>
    </w:p>
    <w:p>
      <w:pPr>
        <w:spacing w:line="560" w:lineRule="exact"/>
        <w:ind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</w:rPr>
        <w:t>按5%左右的比例，提交本年度优秀案例的节能诊断报告。</w:t>
      </w:r>
    </w:p>
    <w:p>
      <w:pPr>
        <w:spacing w:line="560" w:lineRule="exact"/>
        <w:rPr>
          <w:rFonts w:eastAsia="黑体"/>
          <w:sz w:val="32"/>
          <w:szCs w:val="32"/>
        </w:rPr>
        <w:sectPr>
          <w:footerReference r:id="rId6" w:type="first"/>
          <w:footerReference r:id="rId4" w:type="default"/>
          <w:footerReference r:id="rId5" w:type="even"/>
          <w:pgSz w:w="16838" w:h="11906" w:orient="landscape"/>
          <w:pgMar w:top="1587" w:right="2098" w:bottom="1474" w:left="1440" w:header="851" w:footer="992" w:gutter="0"/>
          <w:cols w:space="720" w:num="1"/>
          <w:titlePg/>
          <w:docGrid w:linePitch="312" w:charSpace="0"/>
        </w:sectPr>
      </w:pPr>
    </w:p>
    <w:p>
      <w:pPr>
        <w:spacing w:line="560" w:lineRule="exact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附表</w:t>
      </w:r>
    </w:p>
    <w:p>
      <w:pPr>
        <w:spacing w:line="560" w:lineRule="exact"/>
        <w:jc w:val="center"/>
        <w:rPr>
          <w:rFonts w:eastAsia="方正小标宋简体"/>
          <w:sz w:val="36"/>
          <w:szCs w:val="36"/>
        </w:rPr>
      </w:pPr>
      <w:r>
        <w:rPr>
          <w:rFonts w:hAnsi="方正小标宋简体" w:eastAsia="方正小标宋简体"/>
          <w:sz w:val="36"/>
          <w:szCs w:val="36"/>
        </w:rPr>
        <w:t>节能诊断服务机构建议实施的改造项目</w:t>
      </w:r>
    </w:p>
    <w:p>
      <w:pPr>
        <w:spacing w:line="560" w:lineRule="exact"/>
        <w:jc w:val="center"/>
        <w:rPr>
          <w:rFonts w:eastAsia="方正小标宋简体"/>
          <w:sz w:val="36"/>
          <w:szCs w:val="36"/>
        </w:rPr>
      </w:pPr>
    </w:p>
    <w:tbl>
      <w:tblPr>
        <w:tblStyle w:val="5"/>
        <w:tblW w:w="1357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4"/>
        <w:gridCol w:w="1053"/>
        <w:gridCol w:w="1054"/>
        <w:gridCol w:w="2401"/>
        <w:gridCol w:w="1248"/>
        <w:gridCol w:w="1236"/>
        <w:gridCol w:w="1056"/>
        <w:gridCol w:w="1116"/>
        <w:gridCol w:w="1020"/>
        <w:gridCol w:w="1092"/>
        <w:gridCol w:w="124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2" w:hRule="atLeast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/>
                <w:color w:val="000000"/>
                <w:sz w:val="24"/>
              </w:rPr>
            </w:pPr>
            <w:r>
              <w:rPr>
                <w:rFonts w:hAnsi="黑体" w:eastAsia="黑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/>
                <w:color w:val="000000"/>
                <w:sz w:val="24"/>
              </w:rPr>
            </w:pPr>
            <w:r>
              <w:rPr>
                <w:rFonts w:hAnsi="黑体" w:eastAsia="黑体"/>
                <w:b/>
                <w:color w:val="000000"/>
                <w:kern w:val="0"/>
                <w:sz w:val="24"/>
              </w:rPr>
              <w:t>所在地市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/>
                <w:color w:val="000000"/>
                <w:sz w:val="24"/>
              </w:rPr>
            </w:pPr>
            <w:r>
              <w:rPr>
                <w:rFonts w:hAnsi="黑体" w:eastAsia="黑体"/>
                <w:b/>
                <w:color w:val="000000"/>
                <w:kern w:val="0"/>
                <w:sz w:val="24"/>
              </w:rPr>
              <w:t>所属行业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/>
                <w:color w:val="000000"/>
                <w:sz w:val="24"/>
              </w:rPr>
            </w:pPr>
            <w:r>
              <w:rPr>
                <w:rFonts w:hAnsi="黑体" w:eastAsia="黑体"/>
                <w:b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/>
                <w:color w:val="000000"/>
                <w:sz w:val="24"/>
              </w:rPr>
            </w:pPr>
            <w:r>
              <w:rPr>
                <w:rFonts w:hAnsi="黑体" w:eastAsia="黑体"/>
                <w:b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/>
                <w:color w:val="000000"/>
                <w:sz w:val="24"/>
              </w:rPr>
            </w:pPr>
            <w:r>
              <w:rPr>
                <w:rFonts w:hAnsi="黑体" w:eastAsia="黑体"/>
                <w:b/>
                <w:color w:val="000000"/>
                <w:kern w:val="0"/>
                <w:sz w:val="24"/>
              </w:rPr>
              <w:t>项目内容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/>
                <w:color w:val="000000"/>
                <w:sz w:val="24"/>
              </w:rPr>
            </w:pPr>
            <w:r>
              <w:rPr>
                <w:rFonts w:hAnsi="黑体" w:eastAsia="黑体"/>
                <w:b/>
                <w:color w:val="000000"/>
                <w:kern w:val="0"/>
                <w:sz w:val="24"/>
              </w:rPr>
              <w:t>预期节能效果（</w:t>
            </w:r>
            <w:r>
              <w:rPr>
                <w:rFonts w:eastAsia="黑体"/>
                <w:b/>
                <w:color w:val="000000"/>
                <w:kern w:val="0"/>
                <w:sz w:val="24"/>
              </w:rPr>
              <w:t>tce</w:t>
            </w:r>
            <w:r>
              <w:rPr>
                <w:rFonts w:hAnsi="黑体" w:eastAsia="黑体"/>
                <w:b/>
                <w:color w:val="000000"/>
                <w:kern w:val="0"/>
                <w:sz w:val="24"/>
              </w:rPr>
              <w:t>）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/>
                <w:color w:val="000000"/>
                <w:sz w:val="24"/>
              </w:rPr>
            </w:pPr>
            <w:r>
              <w:rPr>
                <w:rFonts w:hAnsi="黑体" w:eastAsia="黑体"/>
                <w:b/>
                <w:color w:val="000000"/>
                <w:kern w:val="0"/>
                <w:sz w:val="24"/>
              </w:rPr>
              <w:t>投资金额</w:t>
            </w:r>
            <w:r>
              <w:rPr>
                <w:rFonts w:eastAsia="黑体"/>
                <w:b/>
                <w:color w:val="000000"/>
                <w:kern w:val="0"/>
                <w:sz w:val="24"/>
              </w:rPr>
              <w:t xml:space="preserve">    </w:t>
            </w:r>
            <w:r>
              <w:rPr>
                <w:rFonts w:hAnsi="黑体" w:eastAsia="黑体"/>
                <w:b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/>
                <w:color w:val="000000"/>
                <w:sz w:val="24"/>
              </w:rPr>
            </w:pPr>
            <w:r>
              <w:rPr>
                <w:rFonts w:hAnsi="黑体" w:eastAsia="黑体"/>
                <w:b/>
                <w:color w:val="000000"/>
                <w:kern w:val="0"/>
                <w:sz w:val="24"/>
              </w:rPr>
              <w:t>预期经济效益</w:t>
            </w:r>
            <w:r>
              <w:rPr>
                <w:rFonts w:eastAsia="黑体"/>
                <w:b/>
                <w:color w:val="000000"/>
                <w:kern w:val="0"/>
                <w:sz w:val="24"/>
              </w:rPr>
              <w:t xml:space="preserve">  </w:t>
            </w:r>
            <w:r>
              <w:rPr>
                <w:rFonts w:hAnsi="黑体" w:eastAsia="黑体"/>
                <w:b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/>
                <w:color w:val="000000"/>
                <w:sz w:val="24"/>
              </w:rPr>
            </w:pPr>
            <w:r>
              <w:rPr>
                <w:rFonts w:hAnsi="黑体" w:eastAsia="黑体"/>
                <w:b/>
                <w:color w:val="000000"/>
                <w:kern w:val="0"/>
                <w:sz w:val="24"/>
              </w:rPr>
              <w:t>拟实施</w:t>
            </w:r>
            <w:r>
              <w:rPr>
                <w:rFonts w:eastAsia="黑体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黑体" w:eastAsia="黑体"/>
                <w:b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/>
                <w:color w:val="000000"/>
                <w:sz w:val="24"/>
              </w:rPr>
            </w:pPr>
            <w:r>
              <w:rPr>
                <w:rFonts w:hAnsi="黑体" w:eastAsia="黑体"/>
                <w:b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7" w:hRule="atLeast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...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</w:tr>
    </w:tbl>
    <w:p>
      <w:pPr>
        <w:spacing w:line="560" w:lineRule="exact"/>
      </w:pPr>
      <w:r>
        <w:rPr>
          <w:rFonts w:eastAsia="仿宋_GB2312"/>
          <w:sz w:val="28"/>
          <w:szCs w:val="28"/>
        </w:rPr>
        <w:t xml:space="preserve"> 节能诊断服务机构名称：                      联系人：           联系电话：</w:t>
      </w:r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TimesNewRoman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sz w:val="28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sz w:val="28"/>
      </w:rPr>
      <w:t>7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sz w:val="28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sz w:val="28"/>
        <w:szCs w:val="28"/>
      </w:rPr>
      <w:t>5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FB6B07"/>
    <w:rsid w:val="2D8F379E"/>
    <w:rsid w:val="36FB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　</Company>
  <Pages>5</Pages>
  <Words>1092</Words>
  <Characters>1139</Characters>
  <Lines>0</Lines>
  <Paragraphs>0</Paragraphs>
  <TotalTime>1</TotalTime>
  <ScaleCrop>false</ScaleCrop>
  <LinksUpToDate>false</LinksUpToDate>
  <CharactersWithSpaces>1217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2021-06-01T08:39:00Z</dcterms:created>
  <dc:creator>　　</dc:creator>
  <cp:lastModifiedBy>刘春帆</cp:lastModifiedBy>
  <dcterms:modified xsi:type="dcterms:W3CDTF">2021-06-01T08:41:22Z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