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eastAsia="黑体" w:cs="黑体"/>
          <w:sz w:val="24"/>
          <w:szCs w:val="24"/>
          <w:vertAlign w:val="baseline"/>
          <w:lang w:val="en-US" w:eastAsia="zh-CN" w:bidi="ar-SA"/>
        </w:rPr>
      </w:pPr>
      <w:r>
        <w:rPr>
          <w:rFonts w:hint="eastAsia" w:ascii="黑体" w:eastAsia="黑体" w:cs="黑体"/>
          <w:sz w:val="24"/>
          <w:szCs w:val="24"/>
          <w:vertAlign w:val="baseline"/>
          <w:lang w:val="en-US" w:eastAsia="zh-CN" w:bidi="ar-SA"/>
        </w:rPr>
        <w:t>附件</w:t>
      </w:r>
    </w:p>
    <w:p>
      <w:pPr>
        <w:jc w:val="center"/>
        <w:rPr>
          <w:rFonts w:hint="eastAsia" w:ascii="方正小标宋简体" w:eastAsia="方正小标宋简体" w:cs="方正小标宋简体"/>
          <w:sz w:val="44"/>
          <w:szCs w:val="44"/>
          <w:lang w:val="en-US" w:eastAsia="zh-CN" w:bidi="ar-SA"/>
        </w:rPr>
      </w:pPr>
      <w:bookmarkStart w:id="0" w:name="_GoBack"/>
      <w:r>
        <w:rPr>
          <w:rFonts w:hint="eastAsia" w:ascii="方正小标宋简体" w:eastAsia="方正小标宋简体" w:cs="方正小标宋简体"/>
          <w:sz w:val="44"/>
          <w:szCs w:val="44"/>
          <w:lang w:val="en-US" w:eastAsia="zh-CN" w:bidi="ar-SA"/>
        </w:rPr>
        <w:t>广东省申报国家安全应急产业示范基地（综合类）</w:t>
      </w:r>
    </w:p>
    <w:p>
      <w:pPr>
        <w:jc w:val="center"/>
        <w:rPr>
          <w:rFonts w:hint="eastAsia" w:ascii="方正小标宋简体" w:eastAsia="方正小标宋简体" w:cs="方正小标宋简体"/>
          <w:sz w:val="44"/>
          <w:szCs w:val="44"/>
          <w:lang w:val="en-US" w:eastAsia="zh-CN" w:bidi="ar-SA"/>
        </w:rPr>
      </w:pPr>
      <w:r>
        <w:rPr>
          <w:rFonts w:hint="eastAsia" w:ascii="方正小标宋简体" w:eastAsia="方正小标宋简体" w:cs="方正小标宋简体"/>
          <w:sz w:val="44"/>
          <w:szCs w:val="44"/>
          <w:lang w:val="en-US" w:eastAsia="zh-CN" w:bidi="ar-SA"/>
        </w:rPr>
        <w:t>创建单位名单</w:t>
      </w:r>
      <w:bookmarkEnd w:id="0"/>
    </w:p>
    <w:tbl>
      <w:tblPr>
        <w:tblStyle w:val="3"/>
        <w:tblW w:w="1409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311"/>
        <w:gridCol w:w="2106"/>
        <w:gridCol w:w="1350"/>
        <w:gridCol w:w="2010"/>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top"/>
          </w:tcPr>
          <w:p>
            <w:pPr>
              <w:jc w:val="center"/>
              <w:rPr>
                <w:rFonts w:hint="eastAsia" w:ascii="仿宋_GB2312" w:eastAsia="仿宋_GB2312" w:cs="仿宋_GB2312"/>
                <w:b/>
                <w:bCs/>
                <w:sz w:val="24"/>
                <w:szCs w:val="24"/>
                <w:vertAlign w:val="baseline"/>
                <w:lang w:eastAsia="zh-CN" w:bidi="ar-SA"/>
              </w:rPr>
            </w:pPr>
            <w:r>
              <w:rPr>
                <w:rFonts w:hint="eastAsia" w:ascii="仿宋_GB2312" w:eastAsia="仿宋_GB2312" w:cs="仿宋_GB2312"/>
                <w:b/>
                <w:bCs/>
                <w:sz w:val="24"/>
                <w:szCs w:val="24"/>
                <w:vertAlign w:val="baseline"/>
                <w:lang w:eastAsia="zh-CN" w:bidi="ar-SA"/>
              </w:rPr>
              <w:t>序号</w:t>
            </w:r>
          </w:p>
        </w:tc>
        <w:tc>
          <w:tcPr>
            <w:tcW w:w="2311" w:type="dxa"/>
            <w:vAlign w:val="top"/>
          </w:tcPr>
          <w:p>
            <w:pPr>
              <w:jc w:val="center"/>
              <w:rPr>
                <w:rFonts w:hint="eastAsia" w:ascii="仿宋_GB2312" w:eastAsia="仿宋_GB2312" w:cs="仿宋_GB2312"/>
                <w:b/>
                <w:bCs/>
                <w:sz w:val="24"/>
                <w:szCs w:val="24"/>
                <w:vertAlign w:val="baseline"/>
                <w:lang w:eastAsia="zh-CN" w:bidi="ar-SA"/>
              </w:rPr>
            </w:pPr>
            <w:r>
              <w:rPr>
                <w:rFonts w:hint="eastAsia" w:ascii="仿宋_GB2312" w:eastAsia="仿宋_GB2312" w:cs="仿宋_GB2312"/>
                <w:b/>
                <w:bCs/>
                <w:sz w:val="24"/>
                <w:szCs w:val="24"/>
                <w:vertAlign w:val="baseline"/>
                <w:lang w:eastAsia="zh-CN" w:bidi="ar-SA"/>
              </w:rPr>
              <w:t>名称</w:t>
            </w:r>
          </w:p>
        </w:tc>
        <w:tc>
          <w:tcPr>
            <w:tcW w:w="2106" w:type="dxa"/>
            <w:vAlign w:val="top"/>
          </w:tcPr>
          <w:p>
            <w:pPr>
              <w:jc w:val="center"/>
              <w:rPr>
                <w:rFonts w:hint="eastAsia" w:ascii="仿宋_GB2312" w:eastAsia="仿宋_GB2312" w:cs="仿宋_GB2312"/>
                <w:b/>
                <w:bCs/>
                <w:sz w:val="24"/>
                <w:szCs w:val="24"/>
                <w:vertAlign w:val="baseline"/>
                <w:lang w:eastAsia="zh-CN" w:bidi="ar-SA"/>
              </w:rPr>
            </w:pPr>
            <w:r>
              <w:rPr>
                <w:rFonts w:hint="eastAsia" w:ascii="仿宋_GB2312" w:eastAsia="仿宋_GB2312" w:cs="仿宋_GB2312"/>
                <w:b/>
                <w:bCs/>
                <w:sz w:val="24"/>
                <w:szCs w:val="24"/>
                <w:vertAlign w:val="baseline"/>
                <w:lang w:eastAsia="zh-CN" w:bidi="ar-SA"/>
              </w:rPr>
              <w:t>申报主体</w:t>
            </w:r>
          </w:p>
        </w:tc>
        <w:tc>
          <w:tcPr>
            <w:tcW w:w="1350" w:type="dxa"/>
            <w:vAlign w:val="top"/>
          </w:tcPr>
          <w:p>
            <w:pPr>
              <w:jc w:val="center"/>
              <w:rPr>
                <w:rFonts w:hint="eastAsia" w:ascii="仿宋_GB2312" w:eastAsia="仿宋_GB2312" w:cs="仿宋_GB2312"/>
                <w:b/>
                <w:bCs/>
                <w:sz w:val="24"/>
                <w:szCs w:val="24"/>
                <w:vertAlign w:val="baseline"/>
                <w:lang w:eastAsia="zh-CN" w:bidi="ar-SA"/>
              </w:rPr>
            </w:pPr>
            <w:r>
              <w:rPr>
                <w:rFonts w:hint="eastAsia" w:ascii="仿宋_GB2312" w:eastAsia="仿宋_GB2312" w:cs="仿宋_GB2312"/>
                <w:b/>
                <w:bCs/>
                <w:sz w:val="24"/>
                <w:szCs w:val="24"/>
                <w:vertAlign w:val="baseline"/>
                <w:lang w:eastAsia="zh-CN" w:bidi="ar-SA"/>
              </w:rPr>
              <w:t>申报类别</w:t>
            </w:r>
          </w:p>
        </w:tc>
        <w:tc>
          <w:tcPr>
            <w:tcW w:w="2010" w:type="dxa"/>
            <w:vAlign w:val="top"/>
          </w:tcPr>
          <w:p>
            <w:pPr>
              <w:jc w:val="center"/>
              <w:rPr>
                <w:rFonts w:hint="eastAsia" w:ascii="仿宋_GB2312" w:eastAsia="仿宋_GB2312" w:cs="仿宋_GB2312"/>
                <w:b/>
                <w:bCs/>
                <w:sz w:val="24"/>
                <w:szCs w:val="24"/>
                <w:vertAlign w:val="baseline"/>
                <w:lang w:eastAsia="zh-CN" w:bidi="ar-SA"/>
              </w:rPr>
            </w:pPr>
            <w:r>
              <w:rPr>
                <w:rFonts w:hint="eastAsia" w:ascii="仿宋_GB2312" w:eastAsia="仿宋_GB2312" w:cs="仿宋_GB2312"/>
                <w:b/>
                <w:bCs/>
                <w:sz w:val="24"/>
                <w:szCs w:val="24"/>
                <w:vertAlign w:val="baseline"/>
                <w:lang w:eastAsia="zh-CN" w:bidi="ar-SA"/>
              </w:rPr>
              <w:t>申报领域</w:t>
            </w:r>
          </w:p>
        </w:tc>
        <w:tc>
          <w:tcPr>
            <w:tcW w:w="5552" w:type="dxa"/>
            <w:vAlign w:val="top"/>
          </w:tcPr>
          <w:p>
            <w:pPr>
              <w:jc w:val="center"/>
              <w:rPr>
                <w:rFonts w:hint="eastAsia" w:ascii="仿宋_GB2312" w:eastAsia="仿宋_GB2312" w:cs="仿宋_GB2312"/>
                <w:b/>
                <w:bCs/>
                <w:sz w:val="24"/>
                <w:szCs w:val="24"/>
                <w:vertAlign w:val="baseline"/>
                <w:lang w:eastAsia="zh-CN" w:bidi="ar-SA"/>
              </w:rPr>
            </w:pPr>
            <w:r>
              <w:rPr>
                <w:rFonts w:hint="eastAsia" w:ascii="仿宋_GB2312" w:eastAsia="仿宋_GB2312" w:cs="仿宋_GB2312"/>
                <w:b/>
                <w:bCs/>
                <w:sz w:val="24"/>
                <w:szCs w:val="24"/>
                <w:vertAlign w:val="baseline"/>
                <w:lang w:eastAsia="zh-CN" w:bidi="ar-SA"/>
              </w:rPr>
              <w:t>产业链配套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7" w:type="dxa"/>
            <w:vAlign w:val="center"/>
          </w:tcPr>
          <w:p>
            <w:pPr>
              <w:jc w:val="center"/>
              <w:rPr>
                <w:rFonts w:hint="eastAsia" w:ascii="仿宋_GB2312" w:eastAsia="仿宋_GB2312" w:cs="仿宋_GB2312"/>
                <w:sz w:val="24"/>
                <w:szCs w:val="24"/>
                <w:vertAlign w:val="baseline"/>
                <w:lang w:val="en-US" w:eastAsia="zh-CN" w:bidi="ar-SA"/>
              </w:rPr>
            </w:pPr>
            <w:r>
              <w:rPr>
                <w:rFonts w:hint="eastAsia" w:ascii="仿宋_GB2312" w:eastAsia="仿宋_GB2312" w:cs="仿宋_GB2312"/>
                <w:sz w:val="24"/>
                <w:szCs w:val="24"/>
                <w:vertAlign w:val="baseline"/>
                <w:lang w:val="en-US" w:eastAsia="zh-CN" w:bidi="ar-SA"/>
              </w:rPr>
              <w:t>1</w:t>
            </w:r>
          </w:p>
        </w:tc>
        <w:tc>
          <w:tcPr>
            <w:tcW w:w="2311" w:type="dxa"/>
            <w:vAlign w:val="center"/>
          </w:tcPr>
          <w:p>
            <w:pPr>
              <w:jc w:val="both"/>
              <w:rPr>
                <w:rFonts w:hint="eastAsia" w:ascii="仿宋_GB2312" w:eastAsia="仿宋_GB2312" w:cs="仿宋_GB2312"/>
                <w:sz w:val="24"/>
                <w:szCs w:val="24"/>
                <w:vertAlign w:val="baseline"/>
                <w:lang w:eastAsia="zh-CN" w:bidi="ar-SA"/>
              </w:rPr>
            </w:pPr>
            <w:r>
              <w:rPr>
                <w:rFonts w:hint="eastAsia" w:ascii="仿宋_GB2312" w:eastAsia="仿宋_GB2312" w:cs="仿宋_GB2312"/>
                <w:sz w:val="24"/>
                <w:szCs w:val="24"/>
                <w:vertAlign w:val="baseline"/>
                <w:lang w:eastAsia="zh-CN" w:bidi="ar-SA"/>
              </w:rPr>
              <w:t>江门高新技术产业开发区</w:t>
            </w:r>
          </w:p>
        </w:tc>
        <w:tc>
          <w:tcPr>
            <w:tcW w:w="2106" w:type="dxa"/>
            <w:vAlign w:val="center"/>
          </w:tcPr>
          <w:p>
            <w:pPr>
              <w:jc w:val="both"/>
              <w:rPr>
                <w:rFonts w:hint="eastAsia" w:ascii="仿宋_GB2312" w:eastAsia="仿宋_GB2312" w:cs="仿宋_GB2312"/>
                <w:sz w:val="24"/>
                <w:szCs w:val="24"/>
                <w:vertAlign w:val="baseline"/>
                <w:lang w:eastAsia="zh-CN" w:bidi="ar-SA"/>
              </w:rPr>
            </w:pPr>
            <w:r>
              <w:rPr>
                <w:rFonts w:hint="eastAsia" w:ascii="仿宋_GB2312" w:eastAsia="仿宋_GB2312" w:cs="仿宋_GB2312"/>
                <w:sz w:val="24"/>
                <w:szCs w:val="24"/>
                <w:vertAlign w:val="baseline"/>
                <w:lang w:eastAsia="zh-CN" w:bidi="ar-SA"/>
              </w:rPr>
              <w:t>江门高新技术产业开发区管委会</w:t>
            </w:r>
          </w:p>
        </w:tc>
        <w:tc>
          <w:tcPr>
            <w:tcW w:w="1350" w:type="dxa"/>
            <w:vAlign w:val="center"/>
          </w:tcPr>
          <w:p>
            <w:pPr>
              <w:jc w:val="both"/>
              <w:rPr>
                <w:rFonts w:hint="eastAsia" w:ascii="仿宋_GB2312" w:eastAsia="仿宋_GB2312" w:cs="仿宋_GB2312"/>
                <w:sz w:val="24"/>
                <w:szCs w:val="24"/>
                <w:vertAlign w:val="baseline"/>
                <w:lang w:eastAsia="zh-CN" w:bidi="ar-SA"/>
              </w:rPr>
            </w:pPr>
            <w:r>
              <w:rPr>
                <w:rFonts w:hint="eastAsia" w:ascii="仿宋_GB2312" w:eastAsia="仿宋_GB2312" w:cs="仿宋_GB2312"/>
                <w:sz w:val="24"/>
                <w:szCs w:val="24"/>
                <w:vertAlign w:val="baseline"/>
                <w:lang w:eastAsia="zh-CN" w:bidi="ar-SA"/>
              </w:rPr>
              <w:t>综合类</w:t>
            </w:r>
          </w:p>
        </w:tc>
        <w:tc>
          <w:tcPr>
            <w:tcW w:w="2010" w:type="dxa"/>
            <w:vAlign w:val="center"/>
          </w:tcPr>
          <w:p>
            <w:pPr>
              <w:jc w:val="both"/>
              <w:rPr>
                <w:rFonts w:hint="eastAsia" w:ascii="仿宋_GB2312" w:eastAsia="仿宋_GB2312" w:cs="仿宋_GB2312"/>
                <w:sz w:val="24"/>
                <w:szCs w:val="24"/>
                <w:vertAlign w:val="baseline"/>
                <w:lang w:eastAsia="zh-CN" w:bidi="ar-SA"/>
              </w:rPr>
            </w:pPr>
            <w:r>
              <w:rPr>
                <w:rFonts w:hint="eastAsia" w:ascii="仿宋_GB2312" w:eastAsia="仿宋_GB2312" w:cs="仿宋_GB2312"/>
                <w:sz w:val="24"/>
                <w:szCs w:val="24"/>
                <w:vertAlign w:val="baseline"/>
                <w:lang w:eastAsia="zh-CN" w:bidi="ar-SA"/>
              </w:rPr>
              <w:t>应急救援处置类（含抢险救援类、生命救护类、现场保障类）、安全应急服务类（含评估资讯类、检测认证类、教育培训类）</w:t>
            </w:r>
          </w:p>
        </w:tc>
        <w:tc>
          <w:tcPr>
            <w:tcW w:w="5552" w:type="dxa"/>
            <w:vAlign w:val="center"/>
          </w:tcPr>
          <w:p>
            <w:pPr>
              <w:jc w:val="both"/>
              <w:rPr>
                <w:rFonts w:hint="eastAsia" w:ascii="仿宋_GB2312" w:eastAsia="仿宋_GB2312" w:cs="仿宋_GB2312"/>
                <w:sz w:val="24"/>
                <w:szCs w:val="24"/>
                <w:vertAlign w:val="baseline"/>
                <w:lang w:eastAsia="zh-CN" w:bidi="ar-SA"/>
              </w:rPr>
            </w:pPr>
            <w:r>
              <w:rPr>
                <w:rFonts w:hint="eastAsia" w:ascii="仿宋_GB2312" w:eastAsia="仿宋_GB2312" w:cs="仿宋_GB2312"/>
                <w:sz w:val="24"/>
                <w:szCs w:val="24"/>
                <w:vertAlign w:val="baseline"/>
                <w:lang w:eastAsia="zh-CN" w:bidi="ar-SA"/>
              </w:rPr>
              <w:t>产业链配套：江门高新区涵盖抢险救援装备、现场保障产品、生命救护产品、安全应急服务等领域，其上游原材料、技术研发平台、配件加工等链条相对完善，下游如市场、应用端、集成商等较为广阔。例如：在抢险救援产业领域，江门高新区利用德昌电机在行业中的领军能力，进行产业链招商，推动高端机电装备制造产业集群发展，力争把德昌电机产业城打造成为在高端微型电机领域具有全球领导地位的“工业 4.0”智能制造示范基地。在生命救护产业领域，江门高新区探索实施“链长制”，培育一批控制力和根植性强的“链主”企业和生态主导型企业，目前已基本建立起一个门类比较齐全、技术比较先进、产品质量较好的现代医药健康与健康产业体系，树立了一批技术水平高、产品质量好的药品、医疗器械品牌，培育了一批处于行业领先地位的骨干企业。</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uxi Sans">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22FA9"/>
    <w:rsid w:val="11D22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2021-12-16T09:47:00Z</dcterms:created>
  <dc:creator>林鑫毅</dc:creator>
  <cp:lastModifiedBy>林鑫毅</cp:lastModifiedBy>
  <dcterms:modified xsi:type="dcterms:W3CDTF">2021-12-16T09:49:17Z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