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641"/>
        <w:gridCol w:w="1016"/>
        <w:gridCol w:w="3786"/>
        <w:gridCol w:w="750"/>
        <w:gridCol w:w="996"/>
        <w:gridCol w:w="3785"/>
        <w:gridCol w:w="18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401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ind w:hanging="9"/>
              <w:jc w:val="left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pacing w:line="500" w:lineRule="exact"/>
              <w:ind w:hanging="9"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省级促进经济高质量发展专项资金（产业创新能力建设）任务清单（第一批）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所属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资金投入方向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工作任务名称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任务要求/目标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任务性质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实施方式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0"/>
                <w:szCs w:val="30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hanging="9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30"/>
                <w:szCs w:val="30"/>
              </w:rPr>
              <w:t>工作量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广州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产业创新能力提升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1.支持广州市引进建设乐金显示光电科技（中国）有限公司第8.5代有机发光二极管（OLED）显示器件项目，累计带动投资400亿元以上。</w:t>
            </w:r>
          </w:p>
          <w:p>
            <w:pPr>
              <w:pStyle w:val="2"/>
              <w:keepNext w:val="0"/>
              <w:keepLines w:val="0"/>
              <w:widowControl/>
              <w:spacing w:before="0" w:after="0" w:line="40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0"/>
                <w:szCs w:val="30"/>
              </w:rPr>
              <w:t>2.支持广州市引进建设超视界显示技术有限公司10.5代TFT-LCD显示器生产线项目,累计带动投资400亿元以上。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约束性任务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贷款贴息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1.支持广州市引进建设乐金显示光电科技（中国）有限公司第8.5代有机发光二极管（OLED）显示器件项目不超过30347万元。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2.支持广州市引进建设超视界显示技术有限公司10.5代TFT-LCD显示器生产线项目不超过29663万元。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支持2家重点企业发展平板显示产业项目。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titlePg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9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C546E"/>
    <w:rsid w:val="00064A12"/>
    <w:rsid w:val="000C546E"/>
    <w:rsid w:val="226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iPriority w:val="0"/>
    <w:pPr>
      <w:keepNext/>
      <w:keepLines/>
      <w:spacing w:before="340" w:after="330" w:line="576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2021-11-26T03:16:00Z</dcterms:created>
  <dc:creator>曲超</dc:creator>
  <cp:lastModifiedBy>林鑫毅</cp:lastModifiedBy>
  <dcterms:modified xsi:type="dcterms:W3CDTF">2021-12-16T10:16:48Z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