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60" w:lineRule="exact"/>
        <w:ind w:left="0" w:leftChars="0" w:right="0" w:firstLine="0" w:firstLineChars="0"/>
        <w:jc w:val="left"/>
        <w:textAlignment w:val="bottom"/>
        <w:outlineLvl w:val="9"/>
        <w:rPr>
          <w:rFonts w:hint="eastAsia" w:ascii="黑体" w:hAnsi="黑体" w:eastAsia="黑体" w:cs="黑体"/>
          <w:b w:val="0"/>
          <w:bCs/>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2022年省级促进经济高质量发展专项资金（新一代信息技术和产业发展）支持信息技术应用创新产业发展方向绩效目标表</w:t>
      </w:r>
    </w:p>
    <w:p>
      <w:pPr>
        <w:pStyle w:val="2"/>
        <w:numPr>
          <w:numId w:val="0"/>
        </w:numPr>
        <w:ind w:leftChars="0"/>
        <w:jc w:val="both"/>
      </w:pPr>
    </w:p>
    <w:p>
      <w:pPr>
        <w:widowControl/>
        <w:numPr>
          <w:ilvl w:val="0"/>
          <w:numId w:val="3"/>
        </w:numPr>
        <w:ind w:firstLine="321" w:firstLineChars="100"/>
        <w:jc w:val="center"/>
        <w:textAlignment w:val="bottom"/>
        <w:rPr>
          <w:rFonts w:ascii="宋体" w:hAnsi="宋体" w:eastAsia="宋体" w:cs="宋体"/>
          <w:b/>
          <w:color w:val="000000"/>
          <w:sz w:val="32"/>
          <w:szCs w:val="32"/>
          <w:highlight w:val="none"/>
        </w:rPr>
      </w:pPr>
      <w:r>
        <w:rPr>
          <w:rFonts w:hint="eastAsia" w:ascii="宋体" w:hAnsi="宋体" w:cs="宋体"/>
          <w:b/>
          <w:color w:val="000000"/>
          <w:sz w:val="32"/>
          <w:szCs w:val="32"/>
          <w:highlight w:val="none"/>
          <w:lang w:val="en-US" w:eastAsia="zh-CN"/>
        </w:rPr>
        <w:t>中通服建设</w:t>
      </w:r>
      <w:r>
        <w:rPr>
          <w:rFonts w:hint="eastAsia" w:ascii="宋体" w:hAnsi="宋体" w:eastAsia="宋体" w:cs="宋体"/>
          <w:b/>
          <w:color w:val="000000"/>
          <w:sz w:val="32"/>
          <w:szCs w:val="32"/>
          <w:highlight w:val="none"/>
        </w:rPr>
        <w:t>有限公司（省属企业）</w:t>
      </w:r>
    </w:p>
    <w:tbl>
      <w:tblPr>
        <w:tblStyle w:val="6"/>
        <w:tblW w:w="8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525"/>
        <w:gridCol w:w="1179"/>
        <w:gridCol w:w="2667"/>
        <w:gridCol w:w="1040"/>
        <w:gridCol w:w="1125"/>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4"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项目名称</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lang w:val="en-US" w:eastAsia="zh-CN"/>
              </w:rPr>
              <w:t>基于信创的通信行业大数据开发应用平台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项目单位</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_GB2312" w:hAnsi="Arial" w:eastAsia="仿宋_GB2312" w:cs="仿宋_GB2312"/>
                <w:color w:val="000000"/>
                <w:kern w:val="0"/>
                <w:sz w:val="24"/>
                <w:highlight w:val="none"/>
                <w:lang w:val="en-US" w:eastAsia="zh-CN"/>
              </w:rPr>
            </w:pPr>
            <w:r>
              <w:rPr>
                <w:rFonts w:hint="eastAsia" w:ascii="仿宋_GB2312" w:hAnsi="Arial" w:eastAsia="仿宋_GB2312" w:cs="仿宋_GB2312"/>
                <w:color w:val="000000"/>
                <w:kern w:val="0"/>
                <w:sz w:val="24"/>
                <w:highlight w:val="none"/>
                <w:lang w:val="en-US" w:eastAsia="zh-CN"/>
              </w:rPr>
              <w:t>中通服建设有限公司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资金类型</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项目等级</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7"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省级主管部门</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广东省工业和信息化厅</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实施单位</w:t>
            </w:r>
          </w:p>
        </w:tc>
        <w:tc>
          <w:tcPr>
            <w:tcW w:w="285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中通服建设有限公司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预算年度</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资金需求</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Arial" w:eastAsia="仿宋_GB2312" w:cs="仿宋_GB2312"/>
                <w:color w:val="000000"/>
                <w:sz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232.15 </w:t>
            </w:r>
            <w:r>
              <w:rPr>
                <w:rFonts w:hint="eastAsia" w:ascii="宋体" w:hAnsi="宋体" w:cs="宋体"/>
                <w:i w:val="0"/>
                <w:color w:val="000000"/>
                <w:kern w:val="0"/>
                <w:sz w:val="22"/>
                <w:szCs w:val="22"/>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7"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支出内容</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Arial" w:eastAsia="仿宋_GB2312" w:cs="仿宋_GB2312"/>
                <w:color w:val="000000"/>
                <w:sz w:val="24"/>
                <w:highlight w:val="none"/>
                <w:lang w:eastAsia="zh-CN"/>
              </w:rPr>
            </w:pPr>
            <w:r>
              <w:rPr>
                <w:rFonts w:hint="eastAsia" w:ascii="仿宋_GB2312" w:hAnsi="Arial" w:eastAsia="仿宋_GB2312" w:cs="仿宋_GB2312"/>
                <w:color w:val="000000"/>
                <w:kern w:val="0"/>
                <w:sz w:val="24"/>
                <w:highlight w:val="none"/>
              </w:rPr>
              <w:t>用于本项目的</w:t>
            </w:r>
            <w:r>
              <w:rPr>
                <w:rFonts w:hint="eastAsia" w:ascii="仿宋_GB2312" w:hAnsi="Arial" w:eastAsia="仿宋_GB2312" w:cs="仿宋_GB2312"/>
                <w:color w:val="000000"/>
                <w:sz w:val="24"/>
                <w:highlight w:val="none"/>
              </w:rPr>
              <w:t>硬件购置费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软件购置费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在职研发人员费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软硬件适配服务、第三方测评服务费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应用软件外协开发费</w:t>
            </w:r>
            <w:r>
              <w:rPr>
                <w:rFonts w:hint="eastAsia" w:ascii="仿宋_GB2312" w:hAnsi="Arial" w:eastAsia="仿宋_GB2312" w:cs="仿宋_GB2312"/>
                <w:color w:val="000000"/>
                <w:sz w:val="24"/>
                <w:highlight w:val="none"/>
                <w:lang w:val="en-US" w:eastAsia="zh-CN"/>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政策依据</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贯彻落实省委省政府对信息技术应用创新产业发展的战略部署和任务要求。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总体绩效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目标</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atLeast"/>
              <w:jc w:val="left"/>
              <w:rPr>
                <w:rFonts w:hint="eastAsia" w:ascii="仿宋" w:hAnsi="仿宋" w:eastAsia="仿宋"/>
                <w:kern w:val="0"/>
                <w:sz w:val="24"/>
                <w:szCs w:val="24"/>
                <w:highlight w:val="none"/>
              </w:rPr>
            </w:pPr>
            <w:r>
              <w:rPr>
                <w:rFonts w:hint="eastAsia" w:ascii="仿宋" w:hAnsi="仿宋" w:eastAsia="仿宋"/>
                <w:kern w:val="0"/>
                <w:sz w:val="24"/>
                <w:szCs w:val="24"/>
                <w:highlight w:val="none"/>
              </w:rPr>
              <w:t>预期达到的目标:</w:t>
            </w:r>
          </w:p>
          <w:p>
            <w:pPr>
              <w:widowControl/>
              <w:spacing w:line="240" w:lineRule="atLeast"/>
              <w:jc w:val="left"/>
              <w:rPr>
                <w:rFonts w:ascii="仿宋" w:hAnsi="仿宋" w:eastAsia="仿宋"/>
                <w:kern w:val="0"/>
                <w:sz w:val="24"/>
                <w:szCs w:val="24"/>
                <w:highlight w:val="none"/>
              </w:rPr>
            </w:pPr>
            <w:r>
              <w:rPr>
                <w:rFonts w:hint="eastAsia" w:ascii="仿宋" w:hAnsi="仿宋" w:eastAsia="仿宋"/>
                <w:kern w:val="0"/>
                <w:sz w:val="24"/>
                <w:szCs w:val="24"/>
                <w:highlight w:val="none"/>
              </w:rPr>
              <w:t>实现国产化服务器正常安装部署与使用监控；</w:t>
            </w:r>
          </w:p>
          <w:p>
            <w:pPr>
              <w:widowControl/>
              <w:spacing w:line="240" w:lineRule="atLeast"/>
              <w:jc w:val="left"/>
              <w:rPr>
                <w:rFonts w:ascii="仿宋" w:hAnsi="仿宋" w:eastAsia="仿宋"/>
                <w:kern w:val="0"/>
                <w:sz w:val="24"/>
                <w:szCs w:val="24"/>
                <w:highlight w:val="none"/>
              </w:rPr>
            </w:pPr>
            <w:r>
              <w:rPr>
                <w:rFonts w:hint="eastAsia" w:ascii="仿宋" w:hAnsi="仿宋" w:eastAsia="仿宋"/>
                <w:kern w:val="0"/>
                <w:sz w:val="24"/>
                <w:szCs w:val="24"/>
                <w:highlight w:val="none"/>
              </w:rPr>
              <w:t>实现国产化大数据平台、中间件的正常使用与监控；</w:t>
            </w:r>
          </w:p>
          <w:p>
            <w:pPr>
              <w:widowControl/>
              <w:spacing w:line="240" w:lineRule="atLeast"/>
              <w:jc w:val="left"/>
              <w:rPr>
                <w:rFonts w:ascii="仿宋" w:hAnsi="仿宋" w:eastAsia="仿宋"/>
                <w:kern w:val="0"/>
                <w:sz w:val="24"/>
                <w:szCs w:val="24"/>
                <w:highlight w:val="none"/>
              </w:rPr>
            </w:pPr>
            <w:r>
              <w:rPr>
                <w:rFonts w:hint="eastAsia" w:ascii="仿宋" w:hAnsi="仿宋" w:eastAsia="仿宋"/>
                <w:kern w:val="0"/>
                <w:sz w:val="24"/>
                <w:szCs w:val="24"/>
                <w:highlight w:val="none"/>
              </w:rPr>
              <w:t>实现大数据组件在国产化服务器集群统一安装、统一配置、统一监控；</w:t>
            </w:r>
          </w:p>
          <w:p>
            <w:pPr>
              <w:widowControl/>
              <w:spacing w:line="240" w:lineRule="atLeast"/>
              <w:jc w:val="left"/>
              <w:rPr>
                <w:rFonts w:ascii="仿宋" w:hAnsi="仿宋" w:eastAsia="仿宋"/>
                <w:kern w:val="0"/>
                <w:sz w:val="24"/>
                <w:szCs w:val="24"/>
                <w:highlight w:val="none"/>
              </w:rPr>
            </w:pPr>
            <w:r>
              <w:rPr>
                <w:rFonts w:hint="eastAsia" w:ascii="仿宋" w:hAnsi="仿宋" w:eastAsia="仿宋"/>
                <w:kern w:val="0"/>
                <w:sz w:val="24"/>
                <w:szCs w:val="24"/>
                <w:highlight w:val="none"/>
              </w:rPr>
              <w:t>实现各项业务功能需求在国产化软硬件环境下的正常实现与运行；</w:t>
            </w:r>
          </w:p>
          <w:p>
            <w:pPr>
              <w:widowControl/>
              <w:textAlignment w:val="center"/>
              <w:rPr>
                <w:rFonts w:ascii="仿宋_GB2312" w:hAnsi="Arial" w:eastAsia="仿宋_GB2312" w:cs="仿宋_GB2312"/>
                <w:color w:val="000000"/>
                <w:sz w:val="24"/>
                <w:highlight w:val="none"/>
              </w:rPr>
            </w:pPr>
            <w:r>
              <w:rPr>
                <w:rFonts w:hint="eastAsia" w:ascii="仿宋" w:hAnsi="仿宋" w:eastAsia="仿宋"/>
                <w:kern w:val="0"/>
                <w:sz w:val="24"/>
                <w:szCs w:val="24"/>
                <w:highlight w:val="none"/>
              </w:rPr>
              <w:t>支持</w:t>
            </w:r>
            <w:r>
              <w:rPr>
                <w:rFonts w:ascii="仿宋" w:hAnsi="仿宋" w:eastAsia="仿宋"/>
                <w:kern w:val="0"/>
                <w:sz w:val="24"/>
                <w:szCs w:val="24"/>
                <w:highlight w:val="none"/>
              </w:rPr>
              <w:t>100</w:t>
            </w:r>
            <w:r>
              <w:rPr>
                <w:rFonts w:hint="eastAsia" w:ascii="仿宋" w:hAnsi="仿宋" w:eastAsia="仿宋"/>
                <w:kern w:val="0"/>
                <w:sz w:val="24"/>
                <w:szCs w:val="24"/>
                <w:highlight w:val="none"/>
              </w:rPr>
              <w:t>个节点以上的集群规模部署,数据日吞吐能力在</w:t>
            </w:r>
            <w:r>
              <w:rPr>
                <w:rFonts w:ascii="仿宋" w:hAnsi="仿宋" w:eastAsia="仿宋"/>
                <w:kern w:val="0"/>
                <w:sz w:val="24"/>
                <w:szCs w:val="24"/>
                <w:highlight w:val="none"/>
              </w:rPr>
              <w:t>100TB</w:t>
            </w:r>
            <w:r>
              <w:rPr>
                <w:rFonts w:hint="eastAsia" w:ascii="仿宋" w:hAnsi="仿宋" w:eastAsia="仿宋"/>
                <w:kern w:val="0"/>
                <w:sz w:val="24"/>
                <w:szCs w:val="24"/>
                <w:highlight w:val="none"/>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50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一级指标</w:t>
            </w:r>
          </w:p>
        </w:tc>
        <w:tc>
          <w:tcPr>
            <w:tcW w:w="117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二级指标</w:t>
            </w:r>
          </w:p>
        </w:tc>
        <w:tc>
          <w:tcPr>
            <w:tcW w:w="266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三级指标</w:t>
            </w:r>
          </w:p>
        </w:tc>
        <w:tc>
          <w:tcPr>
            <w:tcW w:w="2165" w:type="dxa"/>
            <w:gridSpan w:val="2"/>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指标值</w:t>
            </w:r>
          </w:p>
        </w:tc>
        <w:tc>
          <w:tcPr>
            <w:tcW w:w="172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指标解释说明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0"/>
                <w:szCs w:val="20"/>
                <w:highlight w:val="none"/>
              </w:rPr>
            </w:pPr>
            <w:r>
              <w:rPr>
                <w:rFonts w:hint="eastAsia" w:ascii="仿宋_GB2312" w:hAnsi="Arial" w:eastAsia="仿宋_GB2312" w:cs="仿宋_GB2312"/>
                <w:color w:val="000000"/>
                <w:kern w:val="0"/>
                <w:sz w:val="20"/>
                <w:szCs w:val="20"/>
                <w:highlight w:val="none"/>
              </w:rPr>
              <w:t>绩效指标</w:t>
            </w:r>
          </w:p>
        </w:tc>
        <w:tc>
          <w:tcPr>
            <w:tcW w:w="525"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产出指标</w:t>
            </w:r>
          </w:p>
        </w:tc>
        <w:tc>
          <w:tcPr>
            <w:tcW w:w="1179" w:type="dxa"/>
            <w:vMerge w:val="restart"/>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数量指标</w:t>
            </w:r>
          </w:p>
        </w:tc>
        <w:tc>
          <w:tcPr>
            <w:tcW w:w="2667"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宋体" w:cs="仿宋_GB2312"/>
                <w:color w:val="000000"/>
                <w:kern w:val="0"/>
                <w:sz w:val="24"/>
                <w:highlight w:val="none"/>
                <w:lang w:eastAsia="zh-CN"/>
              </w:rPr>
            </w:pPr>
            <w:r>
              <w:rPr>
                <w:rFonts w:hint="eastAsia" w:ascii="仿宋" w:hAnsi="仿宋" w:eastAsia="仿宋"/>
                <w:color w:val="000000"/>
                <w:kern w:val="0"/>
                <w:sz w:val="24"/>
                <w:szCs w:val="24"/>
                <w:highlight w:val="none"/>
                <w:lang w:val="en-US" w:eastAsia="zh-CN" w:bidi="ar"/>
              </w:rPr>
              <w:t>项目使用自主知识产权软硬件种类数</w:t>
            </w:r>
          </w:p>
        </w:tc>
        <w:tc>
          <w:tcPr>
            <w:tcW w:w="2165" w:type="dxa"/>
            <w:gridSpan w:val="2"/>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r>
              <w:rPr>
                <w:rFonts w:hint="eastAsia" w:ascii="仿宋" w:hAnsi="仿宋" w:eastAsia="仿宋"/>
                <w:kern w:val="0"/>
                <w:sz w:val="24"/>
                <w:szCs w:val="24"/>
                <w:highlight w:val="none"/>
                <w:lang w:val="en-US" w:eastAsia="zh-CN"/>
              </w:rPr>
              <w:t>10类</w:t>
            </w:r>
          </w:p>
        </w:tc>
        <w:tc>
          <w:tcPr>
            <w:tcW w:w="172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宋体" w:cs="仿宋_GB2312"/>
                <w:color w:val="000000"/>
                <w:kern w:val="0"/>
                <w:sz w:val="24"/>
                <w:szCs w:val="24"/>
                <w:highlight w:val="none"/>
                <w:lang w:val="en-US" w:eastAsia="zh-CN" w:bidi="ar-SA"/>
              </w:rPr>
            </w:pPr>
            <w:r>
              <w:rPr>
                <w:rFonts w:hint="eastAsia" w:ascii="仿宋" w:hAnsi="仿宋" w:eastAsia="仿宋"/>
                <w:color w:val="000000"/>
                <w:kern w:val="0"/>
                <w:sz w:val="24"/>
                <w:szCs w:val="24"/>
                <w:highlight w:val="none"/>
                <w:lang w:bidi="ar"/>
              </w:rPr>
              <w:t>项目使用自主知识产权服务器</w:t>
            </w:r>
            <w:r>
              <w:rPr>
                <w:rFonts w:hint="eastAsia" w:ascii="仿宋" w:hAnsi="仿宋" w:eastAsia="仿宋"/>
                <w:kern w:val="0"/>
                <w:sz w:val="24"/>
                <w:szCs w:val="24"/>
                <w:highlight w:val="none"/>
                <w:lang w:bidi="ar"/>
              </w:rPr>
              <w:t>数量</w:t>
            </w:r>
          </w:p>
        </w:tc>
        <w:tc>
          <w:tcPr>
            <w:tcW w:w="2165" w:type="dxa"/>
            <w:gridSpan w:val="2"/>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仿宋_GB2312" w:cs="仿宋_GB2312"/>
                <w:color w:val="000000"/>
                <w:kern w:val="0"/>
                <w:sz w:val="24"/>
                <w:szCs w:val="24"/>
                <w:highlight w:val="none"/>
                <w:lang w:val="en-US" w:eastAsia="zh-CN" w:bidi="ar-SA"/>
              </w:rPr>
            </w:pPr>
            <w:r>
              <w:rPr>
                <w:rFonts w:hint="eastAsia" w:ascii="仿宋" w:hAnsi="仿宋" w:eastAsia="仿宋"/>
                <w:kern w:val="0"/>
                <w:sz w:val="24"/>
                <w:szCs w:val="24"/>
                <w:highlight w:val="none"/>
              </w:rPr>
              <w:t>大于10</w:t>
            </w:r>
          </w:p>
        </w:tc>
        <w:tc>
          <w:tcPr>
            <w:tcW w:w="1729" w:type="dxa"/>
            <w:tcBorders>
              <w:top w:val="single" w:color="auto"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仿宋_GB2312" w:cs="仿宋_GB2312"/>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Times New Roman" w:hAnsi="Times New Roman" w:eastAsia="宋体" w:cs="Times New Roman"/>
                <w:color w:val="000000"/>
                <w:kern w:val="0"/>
                <w:sz w:val="24"/>
                <w:szCs w:val="24"/>
                <w:highlight w:val="none"/>
                <w:lang w:val="en-US" w:eastAsia="zh-CN" w:bidi="ar-SA"/>
              </w:rPr>
            </w:pPr>
            <w:r>
              <w:rPr>
                <w:rFonts w:hint="eastAsia" w:ascii="仿宋" w:hAnsi="仿宋" w:eastAsia="仿宋"/>
                <w:color w:val="000000"/>
                <w:kern w:val="0"/>
                <w:sz w:val="24"/>
                <w:szCs w:val="24"/>
                <w:highlight w:val="none"/>
                <w:lang w:bidi="ar"/>
              </w:rPr>
              <w:t>项目使用自主知识产权的PC终端</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Times New Roman" w:hAnsi="Times New Roman" w:eastAsia="仿宋_GB2312" w:cs="Times New Roman"/>
                <w:color w:val="000000"/>
                <w:kern w:val="0"/>
                <w:sz w:val="24"/>
                <w:szCs w:val="24"/>
                <w:highlight w:val="none"/>
                <w:lang w:val="en-US" w:eastAsia="zh-CN" w:bidi="ar-SA"/>
              </w:rPr>
            </w:pPr>
            <w:r>
              <w:rPr>
                <w:rFonts w:hint="eastAsia" w:ascii="仿宋" w:hAnsi="仿宋" w:eastAsia="仿宋"/>
                <w:kern w:val="0"/>
                <w:sz w:val="24"/>
                <w:szCs w:val="24"/>
                <w:highlight w:val="none"/>
              </w:rPr>
              <w:t>大于5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网络安全设备</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仿宋" w:cs="Times New Roman"/>
                <w:kern w:val="2"/>
                <w:sz w:val="21"/>
                <w:szCs w:val="21"/>
                <w:highlight w:val="none"/>
                <w:lang w:val="en-US" w:eastAsia="zh-CN" w:bidi="ar-SA"/>
              </w:rPr>
            </w:pPr>
            <w:r>
              <w:rPr>
                <w:rFonts w:hint="eastAsia" w:ascii="仿宋" w:hAnsi="仿宋" w:eastAsia="仿宋"/>
                <w:kern w:val="0"/>
                <w:sz w:val="24"/>
                <w:szCs w:val="24"/>
                <w:highlight w:val="none"/>
              </w:rPr>
              <w:t>大于</w:t>
            </w:r>
            <w:r>
              <w:rPr>
                <w:rFonts w:hint="eastAsia" w:ascii="仿宋" w:hAnsi="仿宋" w:eastAsia="仿宋"/>
                <w:kern w:val="0"/>
                <w:sz w:val="24"/>
                <w:szCs w:val="24"/>
                <w:highlight w:val="none"/>
                <w:lang w:val="en-US" w:eastAsia="zh-CN"/>
              </w:rPr>
              <w:t>2</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打印复印扫描</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仿宋" w:hAnsi="仿宋" w:eastAsia="仿宋"/>
                <w:kern w:val="0"/>
                <w:sz w:val="24"/>
                <w:szCs w:val="24"/>
                <w:highlight w:val="none"/>
              </w:rPr>
              <w:t>大于2</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芯片</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default" w:ascii="宋体" w:hAnsi="宋体" w:eastAsia="仿宋" w:cs="Times New Roman"/>
                <w:kern w:val="2"/>
                <w:sz w:val="21"/>
                <w:szCs w:val="21"/>
                <w:highlight w:val="none"/>
                <w:lang w:val="en-US" w:eastAsia="zh-CN" w:bidi="ar-SA"/>
              </w:rPr>
            </w:pPr>
            <w:r>
              <w:rPr>
                <w:rFonts w:hint="eastAsia" w:ascii="仿宋" w:hAnsi="仿宋" w:eastAsia="仿宋"/>
                <w:kern w:val="0"/>
                <w:sz w:val="24"/>
                <w:szCs w:val="24"/>
                <w:highlight w:val="none"/>
              </w:rPr>
              <w:t>大于</w:t>
            </w:r>
            <w:r>
              <w:rPr>
                <w:rFonts w:hint="eastAsia" w:ascii="仿宋" w:hAnsi="仿宋" w:eastAsia="仿宋"/>
                <w:kern w:val="0"/>
                <w:sz w:val="24"/>
                <w:szCs w:val="24"/>
                <w:highlight w:val="none"/>
                <w:lang w:val="en-US" w:eastAsia="zh-CN"/>
              </w:rPr>
              <w:t>11</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数据库</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仿宋" w:hAnsi="仿宋" w:eastAsia="仿宋"/>
                <w:kern w:val="0"/>
                <w:sz w:val="24"/>
                <w:szCs w:val="24"/>
                <w:highlight w:val="none"/>
              </w:rPr>
              <w:t>大于5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操作系统</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仿宋" w:cs="Times New Roman"/>
                <w:kern w:val="2"/>
                <w:sz w:val="21"/>
                <w:szCs w:val="21"/>
                <w:highlight w:val="none"/>
                <w:lang w:val="en-US" w:eastAsia="zh-CN" w:bidi="ar-SA"/>
              </w:rPr>
            </w:pPr>
            <w:r>
              <w:rPr>
                <w:rFonts w:hint="eastAsia" w:ascii="仿宋" w:hAnsi="仿宋" w:eastAsia="仿宋"/>
                <w:kern w:val="0"/>
                <w:sz w:val="24"/>
                <w:szCs w:val="24"/>
                <w:highlight w:val="none"/>
              </w:rPr>
              <w:t>大于</w:t>
            </w:r>
            <w:r>
              <w:rPr>
                <w:rFonts w:hint="eastAsia" w:ascii="仿宋" w:hAnsi="仿宋" w:eastAsia="仿宋"/>
                <w:kern w:val="0"/>
                <w:sz w:val="24"/>
                <w:szCs w:val="24"/>
                <w:highlight w:val="none"/>
                <w:lang w:val="en-US" w:eastAsia="zh-CN"/>
              </w:rPr>
              <w:t>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中间件</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仿宋" w:hAnsi="仿宋" w:eastAsia="仿宋"/>
                <w:kern w:val="0"/>
                <w:sz w:val="24"/>
                <w:szCs w:val="24"/>
                <w:highlight w:val="none"/>
              </w:rPr>
              <w:t>大于8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浏览器</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仿宋" w:hAnsi="仿宋" w:eastAsia="仿宋"/>
                <w:kern w:val="0"/>
                <w:sz w:val="24"/>
                <w:szCs w:val="24"/>
                <w:highlight w:val="none"/>
              </w:rPr>
              <w:t>大于8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项目使用自主知识产权的</w:t>
            </w:r>
            <w:r>
              <w:rPr>
                <w:rFonts w:hint="eastAsia" w:ascii="仿宋" w:hAnsi="仿宋" w:eastAsia="仿宋"/>
                <w:color w:val="000000"/>
                <w:kern w:val="0"/>
                <w:sz w:val="24"/>
                <w:szCs w:val="24"/>
                <w:highlight w:val="none"/>
                <w:lang w:bidi="ar"/>
              </w:rPr>
              <w:t>应用软件</w:t>
            </w:r>
            <w:r>
              <w:rPr>
                <w:rFonts w:hint="eastAsia" w:ascii="仿宋" w:hAnsi="仿宋" w:eastAsia="仿宋"/>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仿宋" w:cs="Times New Roman"/>
                <w:kern w:val="2"/>
                <w:sz w:val="21"/>
                <w:szCs w:val="21"/>
                <w:highlight w:val="none"/>
                <w:lang w:val="en-US" w:eastAsia="zh-CN" w:bidi="ar-SA"/>
              </w:rPr>
            </w:pPr>
            <w:r>
              <w:rPr>
                <w:rFonts w:hint="eastAsia" w:ascii="仿宋" w:hAnsi="仿宋" w:eastAsia="仿宋"/>
                <w:kern w:val="0"/>
                <w:sz w:val="24"/>
                <w:szCs w:val="24"/>
                <w:highlight w:val="none"/>
              </w:rPr>
              <w:t>大于</w:t>
            </w:r>
            <w:r>
              <w:rPr>
                <w:rFonts w:hint="eastAsia" w:ascii="仿宋" w:hAnsi="仿宋" w:eastAsia="仿宋"/>
                <w:kern w:val="0"/>
                <w:sz w:val="24"/>
                <w:szCs w:val="24"/>
                <w:highlight w:val="none"/>
                <w:lang w:val="en-US" w:eastAsia="zh-CN"/>
              </w:rPr>
              <w:t>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eastAsia="宋体" w:cs="Times New Roman"/>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continue"/>
            <w:tcBorders>
              <w:top w:val="single" w:color="auto" w:sz="4" w:space="0"/>
              <w:left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tcBorders>
              <w:top w:val="single" w:color="auto"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质量指标</w:t>
            </w:r>
          </w:p>
        </w:tc>
        <w:tc>
          <w:tcPr>
            <w:tcW w:w="2667" w:type="dxa"/>
            <w:tcBorders>
              <w:top w:val="single" w:color="000000" w:sz="4" w:space="0"/>
              <w:left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宋体" w:cs="仿宋_GB2312"/>
                <w:color w:val="000000"/>
                <w:kern w:val="0"/>
                <w:sz w:val="24"/>
                <w:highlight w:val="none"/>
                <w:lang w:eastAsia="zh-CN"/>
              </w:rPr>
            </w:pP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509" w:type="dxa"/>
            <w:vMerge w:val="continue"/>
            <w:tcBorders>
              <w:left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nil"/>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时效指标</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2"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标</w:t>
            </w:r>
          </w:p>
        </w:tc>
        <w:tc>
          <w:tcPr>
            <w:tcW w:w="1179" w:type="dxa"/>
            <w:tcBorders>
              <w:top w:val="single" w:color="auto" w:sz="4" w:space="0"/>
              <w:left w:val="single" w:color="000000" w:sz="4" w:space="0"/>
              <w:right w:val="single" w:color="auto"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经济效益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宋体" w:cs="仿宋_GB2312"/>
                <w:color w:val="000000"/>
                <w:kern w:val="0"/>
                <w:sz w:val="24"/>
                <w:highlight w:val="none"/>
                <w:lang w:eastAsia="zh-CN"/>
              </w:rPr>
            </w:pPr>
            <w:r>
              <w:rPr>
                <w:rFonts w:hint="eastAsia" w:ascii="仿宋" w:hAnsi="仿宋" w:eastAsia="仿宋"/>
                <w:kern w:val="0"/>
                <w:sz w:val="24"/>
                <w:szCs w:val="24"/>
                <w:highlight w:val="none"/>
              </w:rPr>
              <w:t>降低路测成本</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r>
              <w:rPr>
                <w:rFonts w:hint="eastAsia" w:ascii="仿宋" w:hAnsi="仿宋" w:eastAsia="仿宋"/>
                <w:kern w:val="0"/>
                <w:sz w:val="24"/>
                <w:szCs w:val="24"/>
                <w:highlight w:val="none"/>
              </w:rPr>
              <w:t>每年节约成本500万元以上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tcBorders>
              <w:top w:val="single" w:color="000000" w:sz="4" w:space="0"/>
              <w:left w:val="single" w:color="000000" w:sz="4" w:space="0"/>
              <w:right w:val="single" w:color="auto"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社会效益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2667" w:type="dxa"/>
            <w:tcBorders>
              <w:top w:val="single" w:color="000000" w:sz="4" w:space="0"/>
              <w:left w:val="single" w:color="auto"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仿宋_GB2312" w:hAnsi="Arial" w:eastAsia="宋体" w:cs="仿宋_GB2312"/>
                <w:color w:val="000000"/>
                <w:kern w:val="0"/>
                <w:sz w:val="24"/>
                <w:highlight w:val="none"/>
                <w:lang w:eastAsia="zh-CN"/>
              </w:rPr>
            </w:pP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ascii="仿宋_GB2312" w:hAnsi="Arial"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jc w:val="center"/>
              <w:textAlignment w:val="center"/>
              <w:rPr>
                <w:rFonts w:hint="default" w:ascii="仿宋_GB2312" w:hAnsi="Arial" w:eastAsia="仿宋_GB2312" w:cs="仿宋_GB2312"/>
                <w:color w:val="000000"/>
                <w:kern w:val="0"/>
                <w:sz w:val="24"/>
                <w:highlight w:val="none"/>
                <w:lang w:val="en-US" w:eastAsia="zh-CN"/>
              </w:rPr>
            </w:pPr>
            <w:r>
              <w:rPr>
                <w:rFonts w:hint="eastAsia" w:ascii="仿宋_GB2312" w:hAnsi="Arial" w:eastAsia="仿宋_GB2312" w:cs="仿宋_GB2312"/>
                <w:color w:val="000000"/>
                <w:kern w:val="0"/>
                <w:sz w:val="24"/>
                <w:highlight w:val="none"/>
                <w:lang w:val="en-US" w:eastAsia="zh-CN"/>
              </w:rPr>
              <w:t>生态效益指标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Times New Roman" w:hAnsi="Times New Roman" w:eastAsia="仿宋_GB2312" w:cs="Times New Roman"/>
                <w:color w:val="000000"/>
                <w:kern w:val="0"/>
                <w:sz w:val="24"/>
                <w:highlight w:val="none"/>
                <w:lang w:eastAsia="zh-CN"/>
              </w:rPr>
            </w:pP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Times New Roman" w:hAnsi="Times New Roman" w:eastAsia="仿宋_GB2312" w:cs="Times New Roman"/>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ascii="Times New Roman" w:hAnsi="Times New Roman" w:eastAsia="仿宋_GB2312" w:cs="Times New Roman"/>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7"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tcBorders>
              <w:top w:val="single" w:color="000000" w:sz="4" w:space="0"/>
              <w:left w:val="single" w:color="000000" w:sz="4" w:space="0"/>
              <w:right w:val="single" w:color="auto" w:sz="4" w:space="0"/>
            </w:tcBorders>
            <w:tcMar>
              <w:top w:w="10" w:type="dxa"/>
              <w:left w:w="10" w:type="dxa"/>
              <w:right w:w="10" w:type="dxa"/>
            </w:tcMar>
            <w:vAlign w:val="center"/>
          </w:tcPr>
          <w:p>
            <w:pPr>
              <w:snapToGrid w:val="0"/>
              <w:spacing w:line="240" w:lineRule="auto"/>
              <w:ind w:left="0" w:firstLine="0" w:firstLineChars="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服务对象</w:t>
            </w:r>
          </w:p>
          <w:p>
            <w:pPr>
              <w:widowControl/>
              <w:jc w:val="center"/>
              <w:textAlignment w:val="center"/>
              <w:rPr>
                <w:rFonts w:hint="eastAsia" w:ascii="仿宋_GB2312" w:hAnsi="Arial" w:eastAsia="仿宋_GB2312" w:cs="仿宋_GB2312"/>
                <w:color w:val="000000"/>
                <w:kern w:val="0"/>
                <w:sz w:val="24"/>
                <w:highlight w:val="none"/>
                <w:lang w:val="en-US" w:eastAsia="zh-CN"/>
              </w:rPr>
            </w:pPr>
            <w:r>
              <w:rPr>
                <w:rFonts w:hint="eastAsia" w:ascii="Times New Roman" w:hAnsi="Times New Roman" w:eastAsia="仿宋_GB2312" w:cs="Times New Roman"/>
                <w:sz w:val="24"/>
                <w:highlight w:val="none"/>
              </w:rPr>
              <w:t>满意度指标</w:t>
            </w:r>
          </w:p>
        </w:tc>
        <w:tc>
          <w:tcPr>
            <w:tcW w:w="2667" w:type="dxa"/>
            <w:tcBorders>
              <w:top w:val="single" w:color="000000" w:sz="4" w:space="0"/>
              <w:left w:val="single" w:color="auto"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Times New Roman" w:hAnsi="Times New Roman" w:eastAsia="仿宋_GB2312" w:cs="Times New Roman"/>
                <w:sz w:val="24"/>
                <w:highlight w:val="none"/>
              </w:rPr>
            </w:pPr>
            <w:r>
              <w:rPr>
                <w:rFonts w:hint="eastAsia" w:ascii="仿宋" w:hAnsi="仿宋" w:eastAsia="仿宋"/>
                <w:kern w:val="0"/>
                <w:sz w:val="24"/>
                <w:szCs w:val="24"/>
                <w:highlight w:val="none"/>
              </w:rPr>
              <w:t>提升电信用户满意度</w:t>
            </w: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cs="Times New Roman"/>
                <w:sz w:val="21"/>
                <w:szCs w:val="21"/>
                <w:highlight w:val="none"/>
                <w:lang w:val="en-US" w:eastAsia="zh-CN"/>
              </w:rPr>
            </w:pPr>
            <w:r>
              <w:rPr>
                <w:rFonts w:hint="eastAsia" w:ascii="仿宋" w:hAnsi="仿宋" w:eastAsia="仿宋"/>
                <w:kern w:val="0"/>
                <w:sz w:val="24"/>
                <w:szCs w:val="24"/>
                <w:highlight w:val="none"/>
              </w:rPr>
              <w:t>每万人投诉比例下降1</w:t>
            </w:r>
            <w:r>
              <w:rPr>
                <w:rFonts w:ascii="仿宋" w:hAnsi="仿宋" w:eastAsia="仿宋"/>
                <w:kern w:val="0"/>
                <w:sz w:val="24"/>
                <w:szCs w:val="24"/>
                <w:highlight w:val="none"/>
              </w:rPr>
              <w:t>0%</w:t>
            </w:r>
            <w:r>
              <w:rPr>
                <w:rFonts w:hint="eastAsia" w:ascii="仿宋" w:hAnsi="仿宋" w:eastAsia="仿宋"/>
                <w:kern w:val="0"/>
                <w:sz w:val="24"/>
                <w:szCs w:val="24"/>
                <w:highlight w:val="none"/>
              </w:rPr>
              <w:t>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2"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restart"/>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Arial" w:eastAsia="仿宋_GB2312" w:cs="仿宋_GB2312"/>
                <w:color w:val="000000"/>
                <w:kern w:val="0"/>
                <w:sz w:val="24"/>
                <w:highlight w:val="none"/>
                <w:lang w:val="en-US" w:eastAsia="zh-CN"/>
              </w:rPr>
            </w:pPr>
            <w:r>
              <w:rPr>
                <w:rFonts w:ascii="Times New Roman" w:hAnsi="Times New Roman" w:eastAsia="仿宋_GB2312" w:cs="Times New Roman"/>
                <w:sz w:val="24"/>
                <w:highlight w:val="none"/>
              </w:rPr>
              <w:t>可持续影响指标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spacing w:line="240" w:lineRule="atLeast"/>
              <w:jc w:val="center"/>
              <w:rPr>
                <w:rFonts w:ascii="仿宋" w:hAnsi="仿宋" w:eastAsia="仿宋"/>
                <w:kern w:val="0"/>
                <w:sz w:val="24"/>
                <w:szCs w:val="24"/>
                <w:highlight w:val="none"/>
              </w:rPr>
            </w:pPr>
            <w:r>
              <w:rPr>
                <w:rFonts w:ascii="仿宋" w:hAnsi="仿宋" w:eastAsia="仿宋"/>
                <w:kern w:val="0"/>
                <w:sz w:val="24"/>
                <w:szCs w:val="24"/>
                <w:highlight w:val="none"/>
                <w:lang w:bidi="ar"/>
              </w:rPr>
              <w:t xml:space="preserve">项目能持 </w:t>
            </w:r>
          </w:p>
          <w:p>
            <w:pPr>
              <w:snapToGrid w:val="0"/>
              <w:spacing w:line="240" w:lineRule="auto"/>
              <w:ind w:left="0" w:leftChars="0" w:firstLine="0" w:firstLineChars="0"/>
              <w:jc w:val="center"/>
              <w:rPr>
                <w:rFonts w:hint="eastAsia" w:ascii="Times New Roman" w:hAnsi="Times New Roman" w:eastAsia="仿宋_GB2312" w:cs="Times New Roman"/>
                <w:sz w:val="24"/>
                <w:highlight w:val="none"/>
              </w:rPr>
            </w:pPr>
            <w:r>
              <w:rPr>
                <w:rFonts w:ascii="仿宋" w:hAnsi="仿宋" w:eastAsia="仿宋"/>
                <w:kern w:val="0"/>
                <w:sz w:val="24"/>
                <w:szCs w:val="24"/>
                <w:highlight w:val="none"/>
                <w:lang w:bidi="ar"/>
              </w:rPr>
              <w:t>续应用的场景数</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eastAsia="宋体" w:cs="Times New Roman"/>
                <w:sz w:val="21"/>
                <w:szCs w:val="21"/>
                <w:highlight w:val="none"/>
                <w:lang w:val="en-US" w:eastAsia="zh-CN"/>
              </w:rPr>
            </w:pPr>
            <w:r>
              <w:rPr>
                <w:rFonts w:ascii="仿宋" w:hAnsi="仿宋" w:eastAsia="仿宋"/>
                <w:kern w:val="0"/>
                <w:sz w:val="24"/>
                <w:szCs w:val="24"/>
                <w:highlight w:val="none"/>
              </w:rPr>
              <w:t>3</w:t>
            </w:r>
            <w:r>
              <w:rPr>
                <w:rFonts w:hint="eastAsia" w:ascii="仿宋" w:hAnsi="仿宋" w:eastAsia="仿宋"/>
                <w:kern w:val="0"/>
                <w:sz w:val="24"/>
                <w:szCs w:val="24"/>
                <w:highlight w:val="none"/>
              </w:rPr>
              <w:t>个以上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Times New Roman" w:hAnsi="Times New Roman" w:eastAsia="仿宋_GB2312" w:cs="Times New Roman"/>
                <w:sz w:val="24"/>
                <w:highlight w:val="none"/>
              </w:rPr>
            </w:pPr>
            <w:r>
              <w:rPr>
                <w:rFonts w:hint="eastAsia" w:ascii="仿宋" w:hAnsi="仿宋" w:eastAsia="仿宋"/>
                <w:kern w:val="0"/>
                <w:sz w:val="24"/>
                <w:szCs w:val="24"/>
                <w:highlight w:val="none"/>
                <w:lang w:bidi="ar"/>
              </w:rPr>
              <w:t>项目形成的</w:t>
            </w:r>
            <w:r>
              <w:rPr>
                <w:rFonts w:ascii="仿宋" w:hAnsi="仿宋" w:eastAsia="仿宋"/>
                <w:color w:val="000000"/>
                <w:kern w:val="0"/>
                <w:sz w:val="24"/>
                <w:szCs w:val="24"/>
                <w:highlight w:val="none"/>
                <w:lang w:bidi="ar"/>
              </w:rPr>
              <w:t>问题库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eastAsia="宋体" w:cs="Times New Roman"/>
                <w:sz w:val="21"/>
                <w:szCs w:val="21"/>
                <w:highlight w:val="none"/>
                <w:lang w:val="en-US" w:eastAsia="zh-CN"/>
              </w:rPr>
            </w:pPr>
            <w:r>
              <w:rPr>
                <w:rFonts w:hint="eastAsia" w:ascii="仿宋" w:hAnsi="仿宋" w:eastAsia="仿宋"/>
                <w:kern w:val="0"/>
                <w:sz w:val="24"/>
                <w:szCs w:val="24"/>
                <w:highlight w:val="none"/>
              </w:rPr>
              <w:t>大于60个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Times New Roman" w:hAnsi="Times New Roman" w:eastAsia="仿宋_GB2312" w:cs="Times New Roman"/>
                <w:sz w:val="24"/>
                <w:highlight w:val="none"/>
              </w:rPr>
            </w:pPr>
            <w:r>
              <w:rPr>
                <w:rFonts w:hint="eastAsia" w:ascii="仿宋" w:hAnsi="仿宋" w:eastAsia="仿宋"/>
                <w:kern w:val="0"/>
                <w:sz w:val="24"/>
                <w:szCs w:val="24"/>
                <w:highlight w:val="none"/>
                <w:lang w:bidi="ar"/>
              </w:rPr>
              <w:t>项目形成的</w:t>
            </w:r>
            <w:r>
              <w:rPr>
                <w:rFonts w:ascii="仿宋" w:hAnsi="仿宋" w:eastAsia="仿宋"/>
                <w:kern w:val="0"/>
                <w:sz w:val="24"/>
                <w:szCs w:val="24"/>
                <w:highlight w:val="none"/>
                <w:lang w:bidi="ar"/>
              </w:rPr>
              <w:t>知识库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eastAsia="宋体" w:cs="Times New Roman"/>
                <w:sz w:val="21"/>
                <w:szCs w:val="21"/>
                <w:highlight w:val="none"/>
                <w:lang w:val="en-US" w:eastAsia="zh-CN"/>
              </w:rPr>
            </w:pPr>
            <w:r>
              <w:rPr>
                <w:rFonts w:hint="eastAsia" w:ascii="仿宋" w:hAnsi="仿宋" w:eastAsia="仿宋"/>
                <w:kern w:val="0"/>
                <w:sz w:val="24"/>
                <w:szCs w:val="24"/>
                <w:highlight w:val="none"/>
              </w:rPr>
              <w:t>大于20个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Times New Roman" w:hAnsi="Times New Roman" w:eastAsia="仿宋_GB2312" w:cs="Times New Roman"/>
                <w:sz w:val="24"/>
                <w:highlight w:val="none"/>
              </w:rPr>
            </w:pPr>
            <w:r>
              <w:rPr>
                <w:rFonts w:hint="eastAsia" w:ascii="仿宋" w:hAnsi="仿宋" w:eastAsia="仿宋"/>
                <w:kern w:val="0"/>
                <w:sz w:val="24"/>
                <w:szCs w:val="24"/>
                <w:highlight w:val="none"/>
                <w:lang w:bidi="ar"/>
              </w:rPr>
              <w:t>项目形成的</w:t>
            </w:r>
            <w:r>
              <w:rPr>
                <w:rFonts w:ascii="仿宋" w:hAnsi="仿宋" w:eastAsia="仿宋"/>
                <w:kern w:val="0"/>
                <w:sz w:val="24"/>
                <w:szCs w:val="24"/>
                <w:highlight w:val="none"/>
                <w:lang w:bidi="ar"/>
              </w:rPr>
              <w:t>解决方案库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eastAsia="宋体" w:cs="Times New Roman"/>
                <w:sz w:val="21"/>
                <w:szCs w:val="21"/>
                <w:highlight w:val="none"/>
                <w:lang w:val="en-US" w:eastAsia="zh-CN"/>
              </w:rPr>
            </w:pPr>
            <w:r>
              <w:rPr>
                <w:rFonts w:hint="eastAsia" w:ascii="仿宋" w:hAnsi="仿宋" w:eastAsia="仿宋"/>
                <w:kern w:val="0"/>
                <w:sz w:val="24"/>
                <w:szCs w:val="24"/>
                <w:highlight w:val="none"/>
              </w:rPr>
              <w:t>大于5个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6" w:hRule="atLeast"/>
        </w:trPr>
        <w:tc>
          <w:tcPr>
            <w:tcW w:w="509" w:type="dxa"/>
            <w:vMerge w:val="restart"/>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r>
              <w:rPr>
                <w:rFonts w:hint="eastAsia" w:ascii="仿宋" w:hAnsi="仿宋" w:eastAsia="仿宋"/>
                <w:kern w:val="0"/>
                <w:sz w:val="24"/>
                <w:szCs w:val="24"/>
                <w:highlight w:val="none"/>
                <w:lang w:bidi="ar"/>
              </w:rPr>
              <w:t>自主创新方面取得知识产权成</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rPr>
              <w:t>基于项目产生的著作权数量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rPr>
            </w:pPr>
            <w:r>
              <w:rPr>
                <w:rFonts w:hint="eastAsia" w:ascii="仿宋" w:hAnsi="仿宋" w:eastAsia="仿宋"/>
                <w:kern w:val="0"/>
                <w:sz w:val="24"/>
                <w:szCs w:val="24"/>
                <w:highlight w:val="none"/>
              </w:rPr>
              <w:t>5个以上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rPr>
              <w:t>基于项目产生的专利数量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rPr>
            </w:pPr>
            <w:r>
              <w:rPr>
                <w:rFonts w:hint="eastAsia" w:ascii="仿宋" w:hAnsi="仿宋" w:eastAsia="仿宋"/>
                <w:kern w:val="0"/>
                <w:sz w:val="24"/>
                <w:szCs w:val="24"/>
                <w:highlight w:val="none"/>
              </w:rPr>
              <w:t>1个及以上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kern w:val="0"/>
                <w:sz w:val="24"/>
                <w:szCs w:val="24"/>
                <w:highlight w:val="none"/>
                <w:lang w:bidi="ar"/>
              </w:rPr>
            </w:pPr>
            <w:r>
              <w:rPr>
                <w:rFonts w:ascii="仿宋" w:hAnsi="仿宋" w:eastAsia="仿宋"/>
                <w:color w:val="000000"/>
                <w:kern w:val="0"/>
                <w:sz w:val="24"/>
                <w:szCs w:val="24"/>
                <w:highlight w:val="none"/>
              </w:rPr>
              <w:t>其他指标</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信息技术应用创新用户培训人次</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rPr>
            </w:pPr>
            <w:r>
              <w:rPr>
                <w:rFonts w:hint="eastAsia" w:ascii="仿宋" w:hAnsi="仿宋" w:eastAsia="仿宋"/>
                <w:kern w:val="0"/>
                <w:sz w:val="24"/>
                <w:szCs w:val="24"/>
                <w:highlight w:val="none"/>
              </w:rPr>
              <w:t>2</w:t>
            </w:r>
            <w:r>
              <w:rPr>
                <w:rFonts w:ascii="仿宋" w:hAnsi="仿宋" w:eastAsia="仿宋"/>
                <w:kern w:val="0"/>
                <w:sz w:val="24"/>
                <w:szCs w:val="24"/>
                <w:highlight w:val="none"/>
              </w:rPr>
              <w:t>00</w:t>
            </w:r>
            <w:r>
              <w:rPr>
                <w:rFonts w:hint="eastAsia" w:ascii="仿宋" w:hAnsi="仿宋" w:eastAsia="仿宋"/>
                <w:kern w:val="0"/>
                <w:sz w:val="24"/>
                <w:szCs w:val="24"/>
                <w:highlight w:val="none"/>
              </w:rPr>
              <w:t>人次以上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509"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kern w:val="0"/>
                <w:sz w:val="24"/>
                <w:szCs w:val="24"/>
                <w:highlight w:val="none"/>
                <w:lang w:bidi="ar"/>
              </w:rPr>
            </w:pPr>
          </w:p>
        </w:tc>
        <w:tc>
          <w:tcPr>
            <w:tcW w:w="266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lang w:bidi="ar"/>
              </w:rPr>
            </w:pPr>
            <w:r>
              <w:rPr>
                <w:rFonts w:hint="eastAsia" w:ascii="仿宋" w:hAnsi="仿宋" w:eastAsia="仿宋"/>
                <w:kern w:val="0"/>
                <w:sz w:val="24"/>
                <w:szCs w:val="24"/>
                <w:highlight w:val="none"/>
                <w:lang w:bidi="ar"/>
              </w:rPr>
              <w:t>用户数量及活跃度</w:t>
            </w:r>
          </w:p>
        </w:tc>
        <w:tc>
          <w:tcPr>
            <w:tcW w:w="2165" w:type="dxa"/>
            <w:gridSpan w:val="2"/>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仿宋" w:hAnsi="仿宋" w:eastAsia="仿宋"/>
                <w:kern w:val="0"/>
                <w:sz w:val="24"/>
                <w:szCs w:val="24"/>
                <w:highlight w:val="none"/>
              </w:rPr>
            </w:pPr>
            <w:r>
              <w:rPr>
                <w:rFonts w:hint="eastAsia" w:ascii="仿宋" w:hAnsi="仿宋" w:eastAsia="仿宋"/>
                <w:kern w:val="0"/>
                <w:sz w:val="24"/>
                <w:szCs w:val="24"/>
                <w:highlight w:val="none"/>
              </w:rPr>
              <w:t>大于500用户</w:t>
            </w:r>
          </w:p>
        </w:tc>
        <w:tc>
          <w:tcPr>
            <w:tcW w:w="1729" w:type="dxa"/>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snapToGrid w:val="0"/>
              <w:spacing w:line="240" w:lineRule="auto"/>
              <w:ind w:left="0" w:leftChars="0" w:firstLine="0" w:firstLineChars="0"/>
              <w:jc w:val="center"/>
              <w:rPr>
                <w:rFonts w:hint="eastAsia" w:ascii="宋体" w:hAnsi="宋体" w:cs="Times New Roman"/>
                <w:sz w:val="21"/>
                <w:szCs w:val="21"/>
                <w:highlight w:val="none"/>
              </w:rPr>
            </w:pPr>
          </w:p>
        </w:tc>
      </w:tr>
    </w:tbl>
    <w:p>
      <w:pPr>
        <w:rPr>
          <w:highlight w:val="none"/>
        </w:rPr>
      </w:pPr>
    </w:p>
    <w:p>
      <w:pPr>
        <w:rPr>
          <w:highlight w:val="none"/>
        </w:rPr>
      </w:pPr>
    </w:p>
    <w:p>
      <w:pPr>
        <w:rPr>
          <w:highlight w:val="none"/>
        </w:rPr>
      </w:pPr>
    </w:p>
    <w:p>
      <w:pPr>
        <w:rPr>
          <w:highlight w:val="none"/>
        </w:rPr>
      </w:pPr>
    </w:p>
    <w:p>
      <w:pPr>
        <w:widowControl/>
        <w:numPr>
          <w:ilvl w:val="0"/>
          <w:numId w:val="3"/>
        </w:numPr>
        <w:ind w:firstLine="321" w:firstLineChars="100"/>
        <w:jc w:val="center"/>
        <w:textAlignment w:val="bottom"/>
        <w:rPr>
          <w:rFonts w:ascii="宋体" w:hAnsi="宋体" w:eastAsia="宋体" w:cs="宋体"/>
          <w:b/>
          <w:color w:val="00000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rPr>
          <w:highlight w:val="none"/>
        </w:rPr>
      </w:pPr>
    </w:p>
    <w:p>
      <w:pPr>
        <w:widowControl/>
        <w:numPr>
          <w:ilvl w:val="0"/>
          <w:numId w:val="0"/>
        </w:numPr>
        <w:jc w:val="center"/>
        <w:textAlignment w:val="bottom"/>
        <w:rPr>
          <w:rFonts w:ascii="宋体" w:hAnsi="宋体" w:cs="宋体"/>
          <w:b/>
          <w:sz w:val="32"/>
          <w:szCs w:val="32"/>
          <w:highlight w:val="none"/>
        </w:rPr>
      </w:pPr>
      <w:r>
        <w:rPr>
          <w:rFonts w:hint="eastAsia" w:ascii="宋体" w:hAnsi="宋体" w:cs="宋体"/>
          <w:b/>
          <w:sz w:val="32"/>
          <w:szCs w:val="32"/>
          <w:highlight w:val="none"/>
          <w:lang w:val="en-US" w:eastAsia="zh-CN"/>
        </w:rPr>
        <w:t>二、</w:t>
      </w:r>
      <w:r>
        <w:rPr>
          <w:rFonts w:hint="eastAsia" w:ascii="宋体" w:hAnsi="宋体" w:cs="宋体"/>
          <w:b/>
          <w:sz w:val="32"/>
          <w:szCs w:val="32"/>
          <w:highlight w:val="none"/>
        </w:rPr>
        <w:t>广州中长康达信息技术有限公司</w:t>
      </w:r>
    </w:p>
    <w:tbl>
      <w:tblPr>
        <w:tblStyle w:val="6"/>
        <w:tblW w:w="9787" w:type="dxa"/>
        <w:tblInd w:w="-572" w:type="dxa"/>
        <w:tblLayout w:type="fixed"/>
        <w:tblCellMar>
          <w:top w:w="0" w:type="dxa"/>
          <w:left w:w="0" w:type="dxa"/>
          <w:bottom w:w="0" w:type="dxa"/>
          <w:right w:w="0" w:type="dxa"/>
        </w:tblCellMar>
      </w:tblPr>
      <w:tblGrid>
        <w:gridCol w:w="220"/>
        <w:gridCol w:w="529"/>
        <w:gridCol w:w="655"/>
        <w:gridCol w:w="2141"/>
        <w:gridCol w:w="2067"/>
        <w:gridCol w:w="1333"/>
        <w:gridCol w:w="2835"/>
        <w:gridCol w:w="7"/>
      </w:tblGrid>
      <w:tr>
        <w:tblPrEx>
          <w:tblLayout w:type="fixed"/>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项目名称</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sz w:val="24"/>
                <w:highlight w:val="none"/>
              </w:rPr>
              <w:t>基于信创技术的TYJR数字化服务平台</w:t>
            </w:r>
          </w:p>
        </w:tc>
      </w:tr>
      <w:tr>
        <w:tblPrEx>
          <w:tblLayout w:type="fixed"/>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r>
              <w:rPr>
                <w:rFonts w:hint="eastAsia" w:ascii="仿宋_GB2312" w:hAnsi="Arial" w:eastAsia="仿宋_GB2312" w:cs="仿宋_GB2312"/>
                <w:kern w:val="0"/>
                <w:sz w:val="24"/>
                <w:highlight w:val="none"/>
              </w:rPr>
              <w:t>项目单位</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kern w:val="0"/>
                <w:sz w:val="24"/>
                <w:highlight w:val="none"/>
              </w:rPr>
            </w:pPr>
            <w:r>
              <w:rPr>
                <w:rFonts w:hint="eastAsia" w:ascii="仿宋" w:hAnsi="仿宋" w:eastAsia="仿宋" w:cs="仿宋_GB2312"/>
                <w:kern w:val="0"/>
                <w:sz w:val="24"/>
                <w:highlight w:val="none"/>
              </w:rPr>
              <w:t>广州中长康达信息技术有限公司</w:t>
            </w:r>
          </w:p>
        </w:tc>
      </w:tr>
      <w:tr>
        <w:tblPrEx>
          <w:tblLayout w:type="fixed"/>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资金类型</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省级财政专项资金</w:t>
            </w:r>
          </w:p>
        </w:tc>
      </w:tr>
      <w:tr>
        <w:tblPrEx>
          <w:tblLayout w:type="fixed"/>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项目等级</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二级项目</w:t>
            </w:r>
          </w:p>
        </w:tc>
      </w:tr>
      <w:tr>
        <w:tblPrEx>
          <w:tblLayout w:type="fixed"/>
          <w:tblCellMar>
            <w:top w:w="0" w:type="dxa"/>
            <w:left w:w="0" w:type="dxa"/>
            <w:bottom w:w="0" w:type="dxa"/>
            <w:right w:w="0" w:type="dxa"/>
          </w:tblCellMar>
        </w:tblPrEx>
        <w:trPr>
          <w:gridAfter w:val="1"/>
          <w:wAfter w:w="7" w:type="dxa"/>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省级主管部门</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广东省工业和信息化厅</w:t>
            </w:r>
          </w:p>
        </w:tc>
        <w:tc>
          <w:tcPr>
            <w:tcW w:w="2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实施单位</w:t>
            </w:r>
          </w:p>
        </w:tc>
        <w:tc>
          <w:tcPr>
            <w:tcW w:w="416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广州中长康达信息技术有限公司</w:t>
            </w:r>
          </w:p>
        </w:tc>
      </w:tr>
      <w:tr>
        <w:tblPrEx>
          <w:tblLayout w:type="fixed"/>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预算年度</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_GB2312"/>
                <w:sz w:val="24"/>
                <w:highlight w:val="none"/>
                <w:lang w:eastAsia="zh-CN"/>
              </w:rPr>
            </w:pPr>
            <w:r>
              <w:rPr>
                <w:rFonts w:hint="eastAsia" w:ascii="仿宋" w:hAnsi="仿宋" w:eastAsia="仿宋"/>
                <w:sz w:val="24"/>
                <w:highlight w:val="none"/>
                <w:lang w:val="en-US" w:eastAsia="zh-CN"/>
              </w:rPr>
              <w:t>2022年</w:t>
            </w:r>
          </w:p>
        </w:tc>
      </w:tr>
      <w:tr>
        <w:tblPrEx>
          <w:tblLayout w:type="fixed"/>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资金需求</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sz w:val="24"/>
                <w:highlight w:val="none"/>
              </w:rPr>
              <w:t>296.88万元</w:t>
            </w:r>
          </w:p>
        </w:tc>
      </w:tr>
      <w:tr>
        <w:tblPrEx>
          <w:tblLayout w:type="fixed"/>
          <w:tblCellMar>
            <w:top w:w="0" w:type="dxa"/>
            <w:left w:w="0" w:type="dxa"/>
            <w:bottom w:w="0" w:type="dxa"/>
            <w:right w:w="0" w:type="dxa"/>
          </w:tblCellMar>
        </w:tblPrEx>
        <w:trPr>
          <w:trHeight w:val="8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支出内容</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sz w:val="24"/>
                <w:highlight w:val="none"/>
              </w:rPr>
            </w:pPr>
            <w:r>
              <w:rPr>
                <w:rFonts w:hint="eastAsia" w:ascii="仿宋_GB2312" w:hAnsi="Arial" w:eastAsia="仿宋_GB2312" w:cs="仿宋_GB2312"/>
                <w:color w:val="000000"/>
                <w:kern w:val="0"/>
                <w:sz w:val="24"/>
                <w:highlight w:val="none"/>
              </w:rPr>
              <w:t>用于本项目的设备购置费、软件购置费、研发</w:t>
            </w:r>
            <w:r>
              <w:rPr>
                <w:rFonts w:hint="eastAsia" w:ascii="仿宋_GB2312" w:hAnsi="Arial" w:eastAsia="仿宋_GB2312" w:cs="仿宋_GB2312"/>
                <w:color w:val="000000"/>
                <w:kern w:val="0"/>
                <w:sz w:val="24"/>
                <w:highlight w:val="none"/>
                <w:lang w:val="en-US" w:eastAsia="zh-CN"/>
              </w:rPr>
              <w:t>人员</w:t>
            </w:r>
            <w:r>
              <w:rPr>
                <w:rFonts w:hint="eastAsia" w:ascii="仿宋_GB2312" w:hAnsi="Arial" w:eastAsia="仿宋_GB2312" w:cs="仿宋_GB2312"/>
                <w:color w:val="000000"/>
                <w:kern w:val="0"/>
                <w:sz w:val="24"/>
                <w:highlight w:val="none"/>
              </w:rPr>
              <w:t>费等。</w:t>
            </w:r>
          </w:p>
        </w:tc>
      </w:tr>
      <w:tr>
        <w:tblPrEx>
          <w:tblLayout w:type="fixed"/>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政策依据</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b/>
                <w:bCs/>
                <w:highlight w:val="none"/>
              </w:rPr>
            </w:pPr>
            <w:r>
              <w:rPr>
                <w:rFonts w:hint="eastAsia" w:ascii="仿宋_GB2312" w:hAnsi="Arial" w:eastAsia="仿宋_GB2312" w:cs="仿宋_GB2312"/>
                <w:color w:val="000000"/>
                <w:kern w:val="0"/>
                <w:sz w:val="24"/>
                <w:highlight w:val="none"/>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664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总体绩效</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目标</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2"/>
              <w:numPr>
                <w:ilvl w:val="0"/>
                <w:numId w:val="0"/>
              </w:numPr>
              <w:spacing w:line="360" w:lineRule="auto"/>
              <w:jc w:val="both"/>
              <w:rPr>
                <w:rFonts w:ascii="仿宋" w:hAnsi="仿宋"/>
                <w:b w:val="0"/>
                <w:bCs w:val="0"/>
                <w:sz w:val="24"/>
                <w:szCs w:val="40"/>
                <w:highlight w:val="none"/>
              </w:rPr>
            </w:pPr>
            <w:r>
              <w:rPr>
                <w:rFonts w:hint="eastAsia" w:ascii="仿宋" w:hAnsi="仿宋"/>
                <w:b w:val="0"/>
                <w:bCs w:val="0"/>
                <w:sz w:val="24"/>
                <w:szCs w:val="40"/>
                <w:highlight w:val="none"/>
              </w:rPr>
              <w:t>本项目总体绩效</w:t>
            </w:r>
            <w:r>
              <w:rPr>
                <w:rFonts w:ascii="仿宋" w:hAnsi="仿宋"/>
                <w:b w:val="0"/>
                <w:bCs w:val="0"/>
                <w:sz w:val="24"/>
                <w:szCs w:val="40"/>
                <w:highlight w:val="none"/>
              </w:rPr>
              <w:t>目标</w:t>
            </w:r>
            <w:r>
              <w:rPr>
                <w:rFonts w:hint="eastAsia" w:ascii="仿宋" w:hAnsi="仿宋"/>
                <w:b w:val="0"/>
                <w:bCs w:val="0"/>
                <w:sz w:val="24"/>
                <w:szCs w:val="40"/>
                <w:highlight w:val="none"/>
              </w:rPr>
              <w:t>：</w:t>
            </w:r>
          </w:p>
          <w:p>
            <w:pPr>
              <w:pStyle w:val="2"/>
              <w:numPr>
                <w:ilvl w:val="0"/>
                <w:numId w:val="0"/>
              </w:numPr>
              <w:spacing w:line="360" w:lineRule="auto"/>
              <w:jc w:val="both"/>
              <w:rPr>
                <w:rFonts w:ascii="仿宋" w:hAnsi="仿宋"/>
                <w:b w:val="0"/>
                <w:bCs w:val="0"/>
                <w:sz w:val="24"/>
                <w:szCs w:val="40"/>
                <w:highlight w:val="none"/>
              </w:rPr>
            </w:pPr>
            <w:r>
              <w:rPr>
                <w:rFonts w:hint="eastAsia" w:ascii="仿宋" w:hAnsi="仿宋"/>
                <w:b w:val="0"/>
                <w:bCs w:val="0"/>
                <w:sz w:val="24"/>
                <w:szCs w:val="40"/>
                <w:highlight w:val="none"/>
              </w:rPr>
              <w:t>（1）</w:t>
            </w:r>
            <w:r>
              <w:rPr>
                <w:rFonts w:hint="eastAsia" w:ascii="仿宋" w:hAnsi="仿宋"/>
                <w:b w:val="0"/>
                <w:bCs w:val="0"/>
                <w:sz w:val="24"/>
                <w:szCs w:val="40"/>
                <w:highlight w:val="none"/>
                <w:lang w:val="en-US" w:eastAsia="zh-CN"/>
              </w:rPr>
              <w:t>采用</w:t>
            </w:r>
            <w:r>
              <w:rPr>
                <w:rFonts w:hint="eastAsia" w:ascii="仿宋" w:hAnsi="仿宋"/>
                <w:b w:val="0"/>
                <w:bCs w:val="0"/>
                <w:sz w:val="24"/>
                <w:szCs w:val="40"/>
                <w:highlight w:val="none"/>
              </w:rPr>
              <w:t>搭建一个</w:t>
            </w:r>
            <w:r>
              <w:rPr>
                <w:rFonts w:hint="eastAsia" w:ascii="仿宋" w:hAnsi="仿宋"/>
                <w:b w:val="0"/>
                <w:bCs w:val="0"/>
                <w:sz w:val="24"/>
                <w:szCs w:val="40"/>
                <w:highlight w:val="none"/>
                <w:lang w:val="en-US" w:eastAsia="zh-CN"/>
              </w:rPr>
              <w:t>具有广泛适应性的</w:t>
            </w:r>
            <w:r>
              <w:rPr>
                <w:rFonts w:hint="eastAsia" w:ascii="仿宋" w:hAnsi="仿宋"/>
                <w:b w:val="0"/>
                <w:bCs w:val="0"/>
                <w:sz w:val="24"/>
                <w:szCs w:val="40"/>
                <w:highlight w:val="none"/>
              </w:rPr>
              <w:t>信创技术产品适配平台，实现对已有产品的信创技术产品的适配，并为后续新研发产品或外部产品提供信创技术产品的适配提供基础平台。</w:t>
            </w:r>
          </w:p>
          <w:p>
            <w:pPr>
              <w:pStyle w:val="2"/>
              <w:numPr>
                <w:ilvl w:val="0"/>
                <w:numId w:val="0"/>
              </w:numPr>
              <w:spacing w:line="360" w:lineRule="auto"/>
              <w:jc w:val="both"/>
              <w:rPr>
                <w:rFonts w:ascii="仿宋" w:hAnsi="仿宋"/>
                <w:highlight w:val="none"/>
              </w:rPr>
            </w:pPr>
            <w:r>
              <w:rPr>
                <w:rFonts w:hint="eastAsia" w:ascii="仿宋" w:hAnsi="仿宋"/>
                <w:b w:val="0"/>
                <w:bCs w:val="0"/>
                <w:sz w:val="24"/>
                <w:szCs w:val="40"/>
                <w:highlight w:val="none"/>
              </w:rPr>
              <w:t>（2）以信创技术产品适配平台为基础，构建软硬件技术自主可控的“基于信创技术的TYJR数字化服务平台”，解决被“卡脖子”的核心问题，实现退役军人事务局四级服务体系的纵向联动，横向协同，从而使服务的需求侧能够通过“基于信创技术的TYJR数字化服务平台”获得服务，服务的供给侧能够通过“基于信创技术的TYJR数字化服务平台”提供服务。另一方面，实现公司TYJR应用系统的信创技术适配，不断提升和扩展公司的业务和服务能力</w:t>
            </w:r>
            <w:r>
              <w:rPr>
                <w:rFonts w:hint="eastAsia" w:ascii="仿宋" w:hAnsi="仿宋"/>
                <w:b w:val="0"/>
                <w:bCs w:val="0"/>
                <w:sz w:val="24"/>
                <w:szCs w:val="40"/>
                <w:highlight w:val="none"/>
                <w:lang w:eastAsia="zh-CN"/>
              </w:rPr>
              <w:t>。</w:t>
            </w:r>
          </w:p>
        </w:tc>
      </w:tr>
      <w:tr>
        <w:tblPrEx>
          <w:tblLayout w:type="fixed"/>
          <w:tblCellMar>
            <w:top w:w="0" w:type="dxa"/>
            <w:left w:w="0" w:type="dxa"/>
            <w:bottom w:w="0" w:type="dxa"/>
            <w:right w:w="0" w:type="dxa"/>
          </w:tblCellMar>
        </w:tblPrEx>
        <w:trPr>
          <w:gridAfter w:val="1"/>
          <w:wAfter w:w="7" w:type="dxa"/>
          <w:trHeight w:val="731" w:hRule="atLeast"/>
        </w:trPr>
        <w:tc>
          <w:tcPr>
            <w:tcW w:w="220" w:type="dxa"/>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一级指标</w:t>
            </w:r>
          </w:p>
        </w:tc>
        <w:tc>
          <w:tcPr>
            <w:tcW w:w="655"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二级指标</w:t>
            </w:r>
          </w:p>
        </w:tc>
        <w:tc>
          <w:tcPr>
            <w:tcW w:w="2141" w:type="dxa"/>
            <w:tcBorders>
              <w:top w:val="single" w:color="auto" w:sz="4" w:space="0"/>
              <w:left w:val="single" w:color="000000" w:sz="4" w:space="0"/>
              <w:bottom w:val="single" w:color="000000"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三级指标</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指标值</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_GB2312"/>
                <w:sz w:val="24"/>
                <w:highlight w:val="none"/>
              </w:rPr>
            </w:pPr>
            <w:r>
              <w:rPr>
                <w:rFonts w:hint="eastAsia" w:ascii="仿宋" w:hAnsi="仿宋" w:eastAsia="仿宋" w:cs="仿宋_GB2312"/>
                <w:kern w:val="0"/>
                <w:sz w:val="24"/>
                <w:highlight w:val="none"/>
              </w:rPr>
              <w:t>指标解释说明</w:t>
            </w:r>
          </w:p>
        </w:tc>
      </w:tr>
      <w:tr>
        <w:tblPrEx>
          <w:tblLayout w:type="fixed"/>
          <w:tblCellMar>
            <w:top w:w="0" w:type="dxa"/>
            <w:left w:w="0" w:type="dxa"/>
            <w:bottom w:w="0" w:type="dxa"/>
            <w:right w:w="0" w:type="dxa"/>
          </w:tblCellMar>
        </w:tblPrEx>
        <w:trPr>
          <w:gridAfter w:val="1"/>
          <w:wAfter w:w="7" w:type="dxa"/>
          <w:trHeight w:val="578" w:hRule="atLeast"/>
        </w:trPr>
        <w:tc>
          <w:tcPr>
            <w:tcW w:w="220" w:type="dxa"/>
            <w:vMerge w:val="restart"/>
            <w:tcBorders>
              <w:top w:val="single" w:color="000000" w:sz="4" w:space="0"/>
              <w:left w:val="single" w:color="auto" w:sz="4" w:space="0"/>
              <w:bottom w:val="nil"/>
              <w:right w:val="single" w:color="auto"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0"/>
                <w:szCs w:val="20"/>
                <w:highlight w:val="none"/>
              </w:rPr>
            </w:pPr>
            <w:bookmarkStart w:id="0" w:name="_Hlk88726314"/>
            <w:r>
              <w:rPr>
                <w:rFonts w:hint="eastAsia" w:ascii="仿宋_GB2312" w:hAnsi="Arial" w:eastAsia="仿宋_GB2312" w:cs="仿宋_GB2312"/>
                <w:kern w:val="0"/>
                <w:sz w:val="20"/>
                <w:szCs w:val="20"/>
                <w:highlight w:val="none"/>
              </w:rPr>
              <w:t>绩效指标</w:t>
            </w:r>
          </w:p>
        </w:tc>
        <w:tc>
          <w:tcPr>
            <w:tcW w:w="529"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产出指标</w:t>
            </w:r>
          </w:p>
        </w:tc>
        <w:tc>
          <w:tcPr>
            <w:tcW w:w="655" w:type="dxa"/>
            <w:vMerge w:val="restart"/>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数量指标</w:t>
            </w: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widowControl/>
              <w:jc w:val="left"/>
              <w:textAlignment w:val="center"/>
              <w:rPr>
                <w:rFonts w:ascii="仿宋" w:hAnsi="仿宋" w:eastAsia="仿宋"/>
                <w:sz w:val="24"/>
                <w:highlight w:val="none"/>
              </w:rPr>
            </w:pPr>
            <w:r>
              <w:rPr>
                <w:rFonts w:hint="eastAsia" w:ascii="仿宋" w:hAnsi="仿宋" w:eastAsia="仿宋"/>
                <w:sz w:val="24"/>
                <w:highlight w:val="none"/>
              </w:rPr>
              <w:t>使用自主知识产权软硬件产品的种类数</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sz w:val="24"/>
                <w:highlight w:val="none"/>
              </w:rPr>
            </w:pPr>
            <w:r>
              <w:rPr>
                <w:rFonts w:hint="eastAsia" w:ascii="仿宋" w:hAnsi="仿宋" w:eastAsia="仿宋"/>
                <w:sz w:val="24"/>
                <w:highlight w:val="none"/>
              </w:rPr>
              <w:t>不少于9种</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sz w:val="24"/>
                <w:highlight w:val="none"/>
              </w:rPr>
            </w:pPr>
          </w:p>
        </w:tc>
      </w:tr>
      <w:tr>
        <w:tblPrEx>
          <w:tblLayout w:type="fixed"/>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widowControl/>
              <w:jc w:val="left"/>
              <w:textAlignment w:val="center"/>
              <w:rPr>
                <w:rFonts w:ascii="仿宋" w:hAnsi="仿宋" w:eastAsia="仿宋"/>
                <w:sz w:val="24"/>
                <w:highlight w:val="none"/>
              </w:rPr>
            </w:pPr>
            <w:r>
              <w:rPr>
                <w:rFonts w:hint="eastAsia" w:ascii="仿宋" w:hAnsi="仿宋" w:eastAsia="仿宋"/>
                <w:sz w:val="24"/>
                <w:highlight w:val="none"/>
              </w:rPr>
              <w:t>使用自主知识产权硬件产品数量</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sz w:val="24"/>
                <w:highlight w:val="none"/>
              </w:rPr>
            </w:pPr>
            <w:r>
              <w:rPr>
                <w:rFonts w:hint="eastAsia" w:ascii="仿宋" w:hAnsi="仿宋" w:eastAsia="仿宋"/>
                <w:sz w:val="24"/>
                <w:highlight w:val="none"/>
              </w:rPr>
              <w:t>不少于2</w:t>
            </w:r>
            <w:r>
              <w:rPr>
                <w:rFonts w:hint="eastAsia" w:ascii="仿宋" w:hAnsi="仿宋" w:eastAsia="仿宋"/>
                <w:sz w:val="24"/>
                <w:highlight w:val="none"/>
                <w:lang w:val="en-US" w:eastAsia="zh-CN"/>
              </w:rPr>
              <w:t>5</w:t>
            </w:r>
            <w:r>
              <w:rPr>
                <w:rFonts w:ascii="仿宋" w:hAnsi="仿宋" w:eastAsia="仿宋"/>
                <w:sz w:val="24"/>
                <w:highlight w:val="none"/>
              </w:rPr>
              <w:t>0</w:t>
            </w:r>
            <w:r>
              <w:rPr>
                <w:rFonts w:hint="eastAsia" w:ascii="仿宋" w:hAnsi="仿宋" w:eastAsia="仿宋"/>
                <w:sz w:val="24"/>
                <w:highlight w:val="none"/>
              </w:rPr>
              <w:t>台</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sz w:val="24"/>
                <w:highlight w:val="none"/>
              </w:rPr>
            </w:pPr>
          </w:p>
        </w:tc>
      </w:tr>
      <w:tr>
        <w:tblPrEx>
          <w:tblLayout w:type="fixed"/>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widowControl/>
              <w:jc w:val="left"/>
              <w:textAlignment w:val="center"/>
              <w:rPr>
                <w:rFonts w:ascii="仿宋" w:hAnsi="仿宋" w:eastAsia="仿宋"/>
                <w:sz w:val="24"/>
                <w:highlight w:val="none"/>
              </w:rPr>
            </w:pPr>
            <w:r>
              <w:rPr>
                <w:rFonts w:hint="eastAsia" w:ascii="仿宋" w:hAnsi="仿宋" w:eastAsia="仿宋"/>
                <w:sz w:val="24"/>
                <w:highlight w:val="none"/>
              </w:rPr>
              <w:t>使用自主知识产权软件产品的数量</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sz w:val="24"/>
                <w:highlight w:val="none"/>
              </w:rPr>
            </w:pPr>
            <w:r>
              <w:rPr>
                <w:rFonts w:hint="eastAsia" w:ascii="仿宋" w:hAnsi="仿宋" w:eastAsia="仿宋"/>
                <w:sz w:val="24"/>
                <w:highlight w:val="none"/>
              </w:rPr>
              <w:t>不少于</w:t>
            </w:r>
            <w:r>
              <w:rPr>
                <w:rFonts w:hint="eastAsia" w:ascii="仿宋" w:hAnsi="仿宋" w:eastAsia="仿宋"/>
                <w:sz w:val="24"/>
                <w:highlight w:val="none"/>
                <w:lang w:val="en-US" w:eastAsia="zh-CN"/>
              </w:rPr>
              <w:t>1000</w:t>
            </w:r>
            <w:r>
              <w:rPr>
                <w:rFonts w:hint="eastAsia" w:ascii="仿宋" w:hAnsi="仿宋" w:eastAsia="仿宋"/>
                <w:sz w:val="24"/>
                <w:highlight w:val="none"/>
              </w:rPr>
              <w:t>套</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sz w:val="24"/>
                <w:highlight w:val="none"/>
              </w:rPr>
            </w:pPr>
          </w:p>
        </w:tc>
      </w:tr>
      <w:tr>
        <w:tblPrEx>
          <w:tblLayout w:type="fixed"/>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widowControl/>
              <w:jc w:val="left"/>
              <w:textAlignment w:val="center"/>
              <w:rPr>
                <w:rFonts w:ascii="仿宋" w:hAnsi="仿宋" w:eastAsia="仿宋"/>
                <w:sz w:val="24"/>
                <w:highlight w:val="none"/>
              </w:rPr>
            </w:pPr>
            <w:r>
              <w:rPr>
                <w:rFonts w:hint="eastAsia" w:ascii="仿宋" w:hAnsi="仿宋" w:eastAsia="仿宋"/>
                <w:sz w:val="24"/>
                <w:highlight w:val="none"/>
              </w:rPr>
              <w:t>广州市信创云上线运行</w:t>
            </w:r>
            <w:r>
              <w:rPr>
                <w:rFonts w:ascii="仿宋" w:hAnsi="仿宋" w:eastAsia="仿宋"/>
                <w:sz w:val="24"/>
                <w:highlight w:val="none"/>
              </w:rPr>
              <w:t>业务系统</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sz w:val="24"/>
                <w:highlight w:val="none"/>
              </w:rPr>
            </w:pPr>
            <w:r>
              <w:rPr>
                <w:rFonts w:hint="eastAsia" w:ascii="仿宋" w:hAnsi="仿宋" w:eastAsia="仿宋"/>
                <w:sz w:val="24"/>
                <w:highlight w:val="none"/>
              </w:rPr>
              <w:t>不少于</w:t>
            </w:r>
            <w:r>
              <w:rPr>
                <w:rFonts w:ascii="仿宋" w:hAnsi="仿宋" w:eastAsia="仿宋"/>
                <w:sz w:val="24"/>
                <w:highlight w:val="none"/>
              </w:rPr>
              <w:t>6</w:t>
            </w:r>
            <w:r>
              <w:rPr>
                <w:rFonts w:hint="eastAsia" w:ascii="仿宋" w:hAnsi="仿宋" w:eastAsia="仿宋"/>
                <w:sz w:val="24"/>
                <w:highlight w:val="none"/>
              </w:rPr>
              <w:t>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sz w:val="24"/>
                <w:highlight w:val="none"/>
              </w:rPr>
            </w:pPr>
            <w:r>
              <w:rPr>
                <w:rFonts w:hint="eastAsia" w:ascii="仿宋" w:hAnsi="仿宋" w:eastAsia="仿宋"/>
                <w:sz w:val="24"/>
                <w:highlight w:val="none"/>
              </w:rPr>
              <w:t>TYJR服务系统</w:t>
            </w:r>
          </w:p>
          <w:p>
            <w:pPr>
              <w:widowControl/>
              <w:jc w:val="left"/>
              <w:textAlignment w:val="center"/>
              <w:rPr>
                <w:rFonts w:ascii="仿宋" w:hAnsi="仿宋" w:eastAsia="仿宋"/>
                <w:sz w:val="24"/>
                <w:highlight w:val="none"/>
              </w:rPr>
            </w:pPr>
            <w:r>
              <w:rPr>
                <w:rFonts w:hint="eastAsia" w:ascii="仿宋" w:hAnsi="仿宋" w:eastAsia="仿宋"/>
                <w:sz w:val="24"/>
                <w:highlight w:val="none"/>
              </w:rPr>
              <w:t>TYJR业务办理系统</w:t>
            </w:r>
          </w:p>
          <w:p>
            <w:pPr>
              <w:widowControl/>
              <w:jc w:val="left"/>
              <w:textAlignment w:val="center"/>
              <w:rPr>
                <w:rFonts w:ascii="仿宋" w:hAnsi="仿宋" w:eastAsia="仿宋"/>
                <w:sz w:val="24"/>
                <w:highlight w:val="none"/>
              </w:rPr>
            </w:pPr>
            <w:r>
              <w:rPr>
                <w:rFonts w:hint="eastAsia" w:ascii="仿宋" w:hAnsi="仿宋" w:eastAsia="仿宋"/>
                <w:sz w:val="24"/>
                <w:highlight w:val="none"/>
              </w:rPr>
              <w:t>一人一档数据平台</w:t>
            </w:r>
          </w:p>
          <w:p>
            <w:pPr>
              <w:widowControl/>
              <w:jc w:val="left"/>
              <w:textAlignment w:val="center"/>
              <w:rPr>
                <w:rFonts w:ascii="仿宋" w:hAnsi="仿宋" w:eastAsia="仿宋"/>
                <w:sz w:val="24"/>
                <w:highlight w:val="none"/>
              </w:rPr>
            </w:pPr>
            <w:r>
              <w:rPr>
                <w:rFonts w:hint="eastAsia" w:ascii="仿宋" w:hAnsi="仿宋" w:eastAsia="仿宋"/>
                <w:sz w:val="24"/>
                <w:highlight w:val="none"/>
              </w:rPr>
              <w:t>移交安置系统</w:t>
            </w:r>
          </w:p>
          <w:p>
            <w:pPr>
              <w:widowControl/>
              <w:jc w:val="left"/>
              <w:textAlignment w:val="center"/>
              <w:rPr>
                <w:rFonts w:ascii="仿宋" w:hAnsi="仿宋" w:eastAsia="仿宋"/>
                <w:sz w:val="24"/>
                <w:highlight w:val="none"/>
              </w:rPr>
            </w:pPr>
            <w:r>
              <w:rPr>
                <w:rFonts w:hint="eastAsia" w:ascii="仿宋" w:hAnsi="仿宋" w:eastAsia="仿宋"/>
                <w:sz w:val="24"/>
                <w:highlight w:val="none"/>
              </w:rPr>
              <w:t>权益维护系统</w:t>
            </w:r>
          </w:p>
          <w:p>
            <w:pPr>
              <w:widowControl/>
              <w:jc w:val="left"/>
              <w:textAlignment w:val="center"/>
              <w:rPr>
                <w:rFonts w:ascii="仿宋" w:hAnsi="仿宋" w:eastAsia="仿宋"/>
                <w:sz w:val="24"/>
                <w:highlight w:val="none"/>
              </w:rPr>
            </w:pPr>
            <w:r>
              <w:rPr>
                <w:rFonts w:hint="eastAsia" w:ascii="仿宋" w:hAnsi="仿宋" w:eastAsia="仿宋"/>
                <w:sz w:val="24"/>
                <w:highlight w:val="none"/>
              </w:rPr>
              <w:t>TYJR党建系统</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质量指标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平台可用性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全面完成</w:t>
            </w:r>
            <w:r>
              <w:rPr>
                <w:rFonts w:ascii="仿宋" w:hAnsi="仿宋" w:eastAsia="仿宋"/>
                <w:kern w:val="0"/>
                <w:sz w:val="24"/>
                <w:highlight w:val="none"/>
              </w:rPr>
              <w:t>平台和业务系统的开发，功能可用并满足客户要求</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_GB2312"/>
                <w:kern w:val="0"/>
                <w:sz w:val="24"/>
                <w:highlight w:val="none"/>
              </w:rPr>
            </w:pPr>
            <w:r>
              <w:rPr>
                <w:rFonts w:hint="eastAsia" w:ascii="仿宋" w:hAnsi="仿宋" w:eastAsia="仿宋"/>
                <w:kern w:val="0"/>
                <w:sz w:val="24"/>
                <w:highlight w:val="none"/>
              </w:rPr>
              <w:t>平台已成功部署在客户的信创云上，并</w:t>
            </w:r>
            <w:r>
              <w:rPr>
                <w:rFonts w:ascii="仿宋" w:hAnsi="仿宋" w:eastAsia="仿宋"/>
                <w:kern w:val="0"/>
                <w:sz w:val="24"/>
                <w:highlight w:val="none"/>
              </w:rPr>
              <w:t>满足客户</w:t>
            </w:r>
            <w:r>
              <w:rPr>
                <w:rFonts w:hint="eastAsia" w:ascii="仿宋" w:hAnsi="仿宋" w:eastAsia="仿宋"/>
                <w:kern w:val="0"/>
                <w:sz w:val="24"/>
                <w:highlight w:val="none"/>
              </w:rPr>
              <w:t>的业务</w:t>
            </w:r>
            <w:r>
              <w:rPr>
                <w:rFonts w:ascii="仿宋" w:hAnsi="仿宋" w:eastAsia="仿宋"/>
                <w:kern w:val="0"/>
                <w:sz w:val="24"/>
                <w:highlight w:val="none"/>
              </w:rPr>
              <w:t>要求</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sz w:val="24"/>
                <w:highlight w:val="none"/>
              </w:rPr>
              <w:t>平台稳定性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sz w:val="24"/>
                <w:highlight w:val="none"/>
              </w:rPr>
              <w:t>平台</w:t>
            </w:r>
            <w:r>
              <w:rPr>
                <w:rFonts w:hint="eastAsia" w:ascii="仿宋" w:hAnsi="仿宋" w:eastAsia="仿宋"/>
                <w:sz w:val="24"/>
                <w:highlight w:val="none"/>
              </w:rPr>
              <w:t>和业务系统</w:t>
            </w:r>
            <w:r>
              <w:rPr>
                <w:rFonts w:ascii="仿宋" w:hAnsi="仿宋" w:eastAsia="仿宋"/>
                <w:sz w:val="24"/>
                <w:highlight w:val="none"/>
              </w:rPr>
              <w:t>可连续稳定运行7x24小时</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_GB2312"/>
                <w:kern w:val="0"/>
                <w:sz w:val="24"/>
                <w:highlight w:val="none"/>
              </w:rPr>
            </w:pPr>
            <w:r>
              <w:rPr>
                <w:rFonts w:ascii="仿宋" w:hAnsi="仿宋" w:eastAsia="仿宋"/>
                <w:sz w:val="24"/>
                <w:highlight w:val="none"/>
              </w:rPr>
              <w:t>可连续稳定运行7x24小时</w:t>
            </w:r>
          </w:p>
        </w:tc>
      </w:tr>
      <w:tr>
        <w:tblPrEx>
          <w:tblLayout w:type="fixed"/>
          <w:tblCellMar>
            <w:top w:w="0" w:type="dxa"/>
            <w:left w:w="0" w:type="dxa"/>
            <w:bottom w:w="0" w:type="dxa"/>
            <w:right w:w="0" w:type="dxa"/>
          </w:tblCellMar>
        </w:tblPrEx>
        <w:trPr>
          <w:gridAfter w:val="1"/>
          <w:wAfter w:w="7" w:type="dxa"/>
          <w:trHeight w:val="822"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sz w:val="24"/>
                <w:highlight w:val="none"/>
              </w:rPr>
              <w:t>平台安全性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sz w:val="24"/>
                <w:highlight w:val="none"/>
              </w:rPr>
              <w:t>平台</w:t>
            </w:r>
            <w:r>
              <w:rPr>
                <w:rFonts w:hint="eastAsia" w:ascii="仿宋" w:hAnsi="仿宋" w:eastAsia="仿宋"/>
                <w:sz w:val="24"/>
                <w:highlight w:val="none"/>
              </w:rPr>
              <w:t>和业务系统</w:t>
            </w:r>
            <w:r>
              <w:rPr>
                <w:rFonts w:ascii="仿宋" w:hAnsi="仿宋" w:eastAsia="仿宋"/>
                <w:sz w:val="24"/>
                <w:highlight w:val="none"/>
              </w:rPr>
              <w:t>安全可靠，符合政府安全等保要求</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_GB2312"/>
                <w:kern w:val="0"/>
                <w:sz w:val="24"/>
                <w:highlight w:val="none"/>
              </w:rPr>
            </w:pPr>
            <w:r>
              <w:rPr>
                <w:rFonts w:hint="eastAsia" w:ascii="仿宋" w:hAnsi="仿宋" w:eastAsia="仿宋"/>
                <w:sz w:val="24"/>
                <w:highlight w:val="none"/>
              </w:rPr>
              <w:t>项目已完成第三方的安全等保测评</w:t>
            </w:r>
          </w:p>
        </w:tc>
      </w:tr>
      <w:tr>
        <w:tblPrEx>
          <w:tblLayout w:type="fixed"/>
          <w:tblCellMar>
            <w:top w:w="0" w:type="dxa"/>
            <w:left w:w="0" w:type="dxa"/>
            <w:bottom w:w="0" w:type="dxa"/>
            <w:right w:w="0" w:type="dxa"/>
          </w:tblCellMar>
        </w:tblPrEx>
        <w:trPr>
          <w:gridAfter w:val="1"/>
          <w:wAfter w:w="7" w:type="dxa"/>
          <w:trHeight w:val="665"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auto"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时效指标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项目实施周期</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不超过2年，实施期从</w:t>
            </w:r>
            <w:r>
              <w:rPr>
                <w:rFonts w:ascii="仿宋" w:hAnsi="仿宋" w:eastAsia="仿宋"/>
                <w:sz w:val="24"/>
                <w:highlight w:val="none"/>
              </w:rPr>
              <w:t>2019</w:t>
            </w:r>
            <w:r>
              <w:rPr>
                <w:rFonts w:hint="eastAsia" w:ascii="仿宋" w:hAnsi="仿宋" w:eastAsia="仿宋"/>
                <w:sz w:val="24"/>
                <w:highlight w:val="none"/>
              </w:rPr>
              <w:t>年6月0</w:t>
            </w:r>
            <w:r>
              <w:rPr>
                <w:rFonts w:ascii="仿宋" w:hAnsi="仿宋" w:eastAsia="仿宋"/>
                <w:sz w:val="24"/>
                <w:highlight w:val="none"/>
              </w:rPr>
              <w:t>1</w:t>
            </w:r>
            <w:r>
              <w:rPr>
                <w:rFonts w:hint="eastAsia" w:ascii="仿宋" w:hAnsi="仿宋" w:eastAsia="仿宋"/>
                <w:sz w:val="24"/>
                <w:highlight w:val="none"/>
              </w:rPr>
              <w:t>日至20</w:t>
            </w:r>
            <w:r>
              <w:rPr>
                <w:rFonts w:ascii="仿宋" w:hAnsi="仿宋" w:eastAsia="仿宋"/>
                <w:sz w:val="24"/>
                <w:highlight w:val="none"/>
              </w:rPr>
              <w:t>21</w:t>
            </w:r>
            <w:r>
              <w:rPr>
                <w:rFonts w:hint="eastAsia" w:ascii="仿宋" w:hAnsi="仿宋" w:eastAsia="仿宋"/>
                <w:sz w:val="24"/>
                <w:highlight w:val="none"/>
              </w:rPr>
              <w:t>年5月3</w:t>
            </w:r>
            <w:r>
              <w:rPr>
                <w:rFonts w:ascii="仿宋" w:hAnsi="仿宋" w:eastAsia="仿宋"/>
                <w:sz w:val="24"/>
                <w:highlight w:val="none"/>
              </w:rPr>
              <w:t>1</w:t>
            </w:r>
            <w:r>
              <w:rPr>
                <w:rFonts w:hint="eastAsia" w:ascii="仿宋" w:hAnsi="仿宋" w:eastAsia="仿宋"/>
                <w:sz w:val="24"/>
                <w:highlight w:val="none"/>
              </w:rPr>
              <w:t>日</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cs="仿宋_GB2312"/>
                <w:kern w:val="0"/>
                <w:sz w:val="24"/>
                <w:highlight w:val="none"/>
              </w:rPr>
              <w:t>2年</w:t>
            </w:r>
          </w:p>
        </w:tc>
      </w:tr>
      <w:tr>
        <w:tblPrEx>
          <w:tblLayout w:type="fixed"/>
          <w:tblCellMar>
            <w:top w:w="0" w:type="dxa"/>
            <w:left w:w="0" w:type="dxa"/>
            <w:bottom w:w="0" w:type="dxa"/>
            <w:right w:w="0" w:type="dxa"/>
          </w:tblCellMar>
        </w:tblPrEx>
        <w:trPr>
          <w:gridAfter w:val="1"/>
          <w:wAfter w:w="7" w:type="dxa"/>
          <w:trHeight w:val="665" w:hRule="atLeast"/>
        </w:trPr>
        <w:tc>
          <w:tcPr>
            <w:tcW w:w="220" w:type="dxa"/>
            <w:vMerge w:val="continue"/>
            <w:tcBorders>
              <w:top w:val="nil"/>
              <w:left w:val="single" w:color="auto"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tcBorders>
              <w:top w:val="nil"/>
              <w:left w:val="single" w:color="000000"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r>
              <w:rPr>
                <w:kern w:val="0"/>
                <w:highlight w:val="none"/>
              </w:rPr>
              <w:t>成本指标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资金使用情况</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实际投资与资金预算偏差控制在5</w:t>
            </w:r>
            <w:r>
              <w:rPr>
                <w:rFonts w:ascii="仿宋" w:hAnsi="仿宋" w:eastAsia="仿宋"/>
                <w:kern w:val="0"/>
                <w:sz w:val="24"/>
                <w:highlight w:val="none"/>
              </w:rPr>
              <w:t>%</w:t>
            </w:r>
            <w:r>
              <w:rPr>
                <w:rFonts w:hint="eastAsia" w:ascii="仿宋" w:hAnsi="仿宋" w:eastAsia="仿宋"/>
                <w:kern w:val="0"/>
                <w:sz w:val="24"/>
                <w:highlight w:val="none"/>
              </w:rPr>
              <w:t>以内</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kern w:val="0"/>
                <w:sz w:val="24"/>
                <w:highlight w:val="none"/>
              </w:rPr>
            </w:pPr>
          </w:p>
        </w:tc>
      </w:tr>
      <w:tr>
        <w:tblPrEx>
          <w:tblLayout w:type="fixed"/>
          <w:tblCellMar>
            <w:top w:w="0" w:type="dxa"/>
            <w:left w:w="0" w:type="dxa"/>
            <w:bottom w:w="0" w:type="dxa"/>
            <w:right w:w="0" w:type="dxa"/>
          </w:tblCellMar>
        </w:tblPrEx>
        <w:trPr>
          <w:gridAfter w:val="1"/>
          <w:wAfter w:w="7" w:type="dxa"/>
          <w:trHeight w:val="762" w:hRule="atLeast"/>
        </w:trPr>
        <w:tc>
          <w:tcPr>
            <w:tcW w:w="220" w:type="dxa"/>
            <w:vMerge w:val="continue"/>
            <w:tcBorders>
              <w:top w:val="nil"/>
              <w:left w:val="single" w:color="auto" w:sz="4" w:space="0"/>
              <w:bottom w:val="single" w:color="auto"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效</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益</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指</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标</w:t>
            </w:r>
          </w:p>
        </w:tc>
        <w:tc>
          <w:tcPr>
            <w:tcW w:w="655" w:type="dxa"/>
            <w:vMerge w:val="restar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经济效益</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指标</w:t>
            </w:r>
          </w:p>
        </w:tc>
        <w:tc>
          <w:tcPr>
            <w:tcW w:w="2141" w:type="dxa"/>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kern w:val="0"/>
                <w:sz w:val="24"/>
                <w:highlight w:val="none"/>
              </w:rPr>
              <w:t>销售收入</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kern w:val="0"/>
                <w:sz w:val="24"/>
                <w:highlight w:val="none"/>
              </w:rPr>
              <w:t>4000万元以上</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_GB2312"/>
                <w:kern w:val="0"/>
                <w:sz w:val="24"/>
                <w:highlight w:val="none"/>
              </w:rPr>
            </w:pPr>
            <w:r>
              <w:rPr>
                <w:rFonts w:hint="eastAsia" w:ascii="仿宋" w:hAnsi="仿宋" w:eastAsia="仿宋"/>
                <w:kern w:val="0"/>
                <w:sz w:val="24"/>
                <w:highlight w:val="none"/>
              </w:rPr>
              <w:t>实现纯信创项目销售收入：</w:t>
            </w:r>
            <w:r>
              <w:rPr>
                <w:rFonts w:ascii="仿宋" w:hAnsi="仿宋" w:eastAsia="仿宋" w:cs="Times New Roman"/>
                <w:kern w:val="0"/>
                <w:sz w:val="24"/>
                <w:highlight w:val="none"/>
              </w:rPr>
              <w:t>4703.61</w:t>
            </w:r>
            <w:r>
              <w:rPr>
                <w:rFonts w:hint="eastAsia" w:ascii="仿宋" w:hAnsi="仿宋" w:eastAsia="仿宋"/>
                <w:kern w:val="0"/>
                <w:sz w:val="24"/>
                <w:highlight w:val="none"/>
              </w:rPr>
              <w:t>万元</w:t>
            </w:r>
          </w:p>
        </w:tc>
      </w:tr>
      <w:tr>
        <w:tblPrEx>
          <w:tblLayout w:type="fixed"/>
          <w:tblCellMar>
            <w:top w:w="0" w:type="dxa"/>
            <w:left w:w="0" w:type="dxa"/>
            <w:bottom w:w="0" w:type="dxa"/>
            <w:right w:w="0" w:type="dxa"/>
          </w:tblCellMar>
        </w:tblPrEx>
        <w:trPr>
          <w:gridAfter w:val="1"/>
          <w:wAfter w:w="7" w:type="dxa"/>
          <w:trHeight w:val="762" w:hRule="atLeast"/>
        </w:trPr>
        <w:tc>
          <w:tcPr>
            <w:tcW w:w="220" w:type="dxa"/>
            <w:vMerge w:val="continue"/>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655" w:type="dxa"/>
            <w:vMerge w:val="continue"/>
            <w:tcBorders>
              <w:top w:val="single" w:color="auto"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kern w:val="0"/>
                <w:sz w:val="24"/>
                <w:highlight w:val="none"/>
              </w:rPr>
              <w:t>投资回收期</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kern w:val="0"/>
                <w:sz w:val="24"/>
                <w:highlight w:val="none"/>
              </w:rPr>
              <w:t>36个月</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cs="仿宋_GB2312"/>
                <w:kern w:val="0"/>
                <w:sz w:val="24"/>
                <w:highlight w:val="none"/>
              </w:rPr>
              <w:t>36</w:t>
            </w:r>
            <w:r>
              <w:rPr>
                <w:rFonts w:hint="eastAsia" w:ascii="仿宋" w:hAnsi="仿宋" w:eastAsia="仿宋" w:cs="仿宋_GB2312"/>
                <w:kern w:val="0"/>
                <w:sz w:val="24"/>
                <w:highlight w:val="none"/>
              </w:rPr>
              <w:t>个月</w:t>
            </w:r>
          </w:p>
        </w:tc>
      </w:tr>
      <w:tr>
        <w:tblPrEx>
          <w:tblLayout w:type="fixed"/>
          <w:tblCellMar>
            <w:top w:w="0" w:type="dxa"/>
            <w:left w:w="0" w:type="dxa"/>
            <w:bottom w:w="0" w:type="dxa"/>
            <w:right w:w="0" w:type="dxa"/>
          </w:tblCellMar>
        </w:tblPrEx>
        <w:trPr>
          <w:gridAfter w:val="1"/>
          <w:wAfter w:w="7" w:type="dxa"/>
          <w:trHeight w:val="1013"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sz w:val="24"/>
                <w:highlight w:val="none"/>
              </w:rPr>
            </w:pPr>
            <w:r>
              <w:rPr>
                <w:rFonts w:hint="eastAsia" w:ascii="仿宋_GB2312" w:hAnsi="Arial" w:eastAsia="仿宋_GB2312" w:cs="仿宋_GB2312"/>
                <w:kern w:val="0"/>
                <w:sz w:val="24"/>
                <w:highlight w:val="none"/>
              </w:rPr>
              <w:t>社会效益</w:t>
            </w:r>
            <w:r>
              <w:rPr>
                <w:rFonts w:hint="eastAsia" w:ascii="仿宋_GB2312" w:hAnsi="Arial" w:eastAsia="仿宋_GB2312" w:cs="仿宋_GB2312"/>
                <w:kern w:val="0"/>
                <w:sz w:val="24"/>
                <w:highlight w:val="none"/>
              </w:rPr>
              <w:br w:type="textWrapping"/>
            </w:r>
            <w:r>
              <w:rPr>
                <w:rFonts w:hint="eastAsia" w:ascii="仿宋_GB2312" w:hAnsi="Arial" w:eastAsia="仿宋_GB2312" w:cs="仿宋_GB2312"/>
                <w:kern w:val="0"/>
                <w:sz w:val="24"/>
                <w:highlight w:val="none"/>
              </w:rPr>
              <w:t>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提升TYJR数字化服务能力</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ascii="仿宋" w:hAnsi="仿宋" w:eastAsia="仿宋"/>
                <w:kern w:val="0"/>
                <w:sz w:val="24"/>
                <w:highlight w:val="none"/>
              </w:rPr>
              <w:t>基于信创技术的TYJR数字化服务平台</w:t>
            </w:r>
            <w:r>
              <w:rPr>
                <w:rFonts w:hint="eastAsia" w:ascii="仿宋" w:hAnsi="仿宋" w:eastAsia="仿宋"/>
                <w:kern w:val="0"/>
                <w:sz w:val="24"/>
                <w:highlight w:val="none"/>
              </w:rPr>
              <w:t>的建设</w:t>
            </w:r>
            <w:r>
              <w:rPr>
                <w:rFonts w:ascii="仿宋" w:hAnsi="仿宋" w:eastAsia="仿宋"/>
                <w:kern w:val="0"/>
                <w:sz w:val="24"/>
                <w:highlight w:val="none"/>
              </w:rPr>
              <w:t>,</w:t>
            </w:r>
            <w:r>
              <w:rPr>
                <w:rFonts w:hint="eastAsia" w:ascii="仿宋" w:hAnsi="仿宋" w:eastAsia="仿宋"/>
                <w:kern w:val="0"/>
                <w:sz w:val="24"/>
                <w:highlight w:val="none"/>
              </w:rPr>
              <w:t>实现退役军人事务局四级服务体系的纵向联动，横向协同，以及数字化</w:t>
            </w:r>
            <w:r>
              <w:rPr>
                <w:rFonts w:ascii="仿宋" w:hAnsi="仿宋" w:eastAsia="仿宋"/>
                <w:kern w:val="0"/>
                <w:sz w:val="24"/>
                <w:highlight w:val="none"/>
              </w:rPr>
              <w:t>服务</w:t>
            </w:r>
            <w:r>
              <w:rPr>
                <w:rFonts w:hint="eastAsia" w:ascii="仿宋" w:hAnsi="仿宋" w:eastAsia="仿宋"/>
                <w:kern w:val="0"/>
                <w:sz w:val="24"/>
                <w:highlight w:val="none"/>
              </w:rPr>
              <w:t>提供。</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_GB2312"/>
                <w:kern w:val="0"/>
                <w:sz w:val="24"/>
                <w:highlight w:val="none"/>
              </w:rPr>
            </w:pPr>
            <w:r>
              <w:rPr>
                <w:rFonts w:hint="eastAsia" w:ascii="仿宋" w:hAnsi="仿宋" w:eastAsia="仿宋"/>
                <w:kern w:val="0"/>
                <w:sz w:val="24"/>
                <w:highlight w:val="none"/>
              </w:rPr>
              <w:t>实现退役军人事务局四级服务体系的纵向联动，横向协同，以及数字化</w:t>
            </w:r>
            <w:r>
              <w:rPr>
                <w:rFonts w:ascii="仿宋" w:hAnsi="仿宋" w:eastAsia="仿宋"/>
                <w:kern w:val="0"/>
                <w:sz w:val="24"/>
                <w:highlight w:val="none"/>
              </w:rPr>
              <w:t>服务</w:t>
            </w:r>
            <w:r>
              <w:rPr>
                <w:rFonts w:hint="eastAsia" w:ascii="仿宋" w:hAnsi="仿宋" w:eastAsia="仿宋"/>
                <w:kern w:val="0"/>
                <w:sz w:val="24"/>
                <w:highlight w:val="none"/>
              </w:rPr>
              <w:t>提供</w:t>
            </w:r>
          </w:p>
        </w:tc>
      </w:tr>
      <w:tr>
        <w:tblPrEx>
          <w:tblLayout w:type="fixed"/>
          <w:tblCellMar>
            <w:top w:w="0" w:type="dxa"/>
            <w:left w:w="0" w:type="dxa"/>
            <w:bottom w:w="0" w:type="dxa"/>
            <w:right w:w="0" w:type="dxa"/>
          </w:tblCellMar>
        </w:tblPrEx>
        <w:trPr>
          <w:gridAfter w:val="1"/>
          <w:wAfter w:w="7" w:type="dxa"/>
          <w:trHeight w:val="1013"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kern w:val="0"/>
                <w:sz w:val="24"/>
                <w:highlight w:val="none"/>
              </w:rPr>
            </w:pPr>
            <w:r>
              <w:rPr>
                <w:rFonts w:ascii="仿宋" w:hAnsi="仿宋" w:eastAsia="仿宋"/>
                <w:kern w:val="0"/>
                <w:sz w:val="24"/>
                <w:highlight w:val="none"/>
              </w:rPr>
              <w:t>社会效益</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基于信创技术的TYJR数字化服务平台</w:t>
            </w:r>
            <w:r>
              <w:rPr>
                <w:rFonts w:hint="eastAsia" w:ascii="仿宋" w:hAnsi="仿宋" w:eastAsia="仿宋"/>
                <w:kern w:val="0"/>
                <w:sz w:val="24"/>
                <w:highlight w:val="none"/>
              </w:rPr>
              <w:t>的成功实施</w:t>
            </w:r>
            <w:r>
              <w:rPr>
                <w:rFonts w:hint="eastAsia" w:ascii="仿宋" w:hAnsi="仿宋" w:eastAsia="仿宋"/>
                <w:sz w:val="24"/>
                <w:highlight w:val="none"/>
              </w:rPr>
              <w:t>，为使用信创技术产品实现数字化政府提供了范例，为实现数字化政府的软硬件技术自主可控，解决被“卡脖子”的核心问题，具有广泛的应用推广性和行业扩展性，具有示范性的社会效益</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kern w:val="0"/>
                <w:sz w:val="24"/>
                <w:highlight w:val="none"/>
              </w:rPr>
            </w:pPr>
            <w:r>
              <w:rPr>
                <w:rFonts w:hint="eastAsia" w:ascii="仿宋" w:hAnsi="仿宋" w:eastAsia="仿宋"/>
                <w:sz w:val="24"/>
                <w:highlight w:val="none"/>
              </w:rPr>
              <w:t>为实现数字化政府的软硬件技术自主可控，解决被“卡脖子”的核心问题，具有广泛的应用推广性和行业扩展性，具有示范性的社会效益</w:t>
            </w:r>
          </w:p>
        </w:tc>
      </w:tr>
      <w:tr>
        <w:tblPrEx>
          <w:tblLayout w:type="fixed"/>
          <w:tblCellMar>
            <w:top w:w="0" w:type="dxa"/>
            <w:left w:w="0" w:type="dxa"/>
            <w:bottom w:w="0" w:type="dxa"/>
            <w:right w:w="0" w:type="dxa"/>
          </w:tblCellMar>
        </w:tblPrEx>
        <w:trPr>
          <w:gridAfter w:val="1"/>
          <w:wAfter w:w="7" w:type="dxa"/>
          <w:trHeight w:val="1107"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r>
              <w:rPr>
                <w:rFonts w:hint="eastAsia" w:ascii="仿宋_GB2312" w:hAnsi="Arial" w:eastAsia="仿宋_GB2312" w:cs="仿宋_GB2312"/>
                <w:kern w:val="0"/>
                <w:sz w:val="24"/>
                <w:highlight w:val="none"/>
              </w:rPr>
              <w:t>生态效益指标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仿宋" w:hAnsi="仿宋" w:eastAsia="仿宋" w:cs="Times New Roman"/>
                <w:kern w:val="0"/>
                <w:sz w:val="24"/>
                <w:highlight w:val="none"/>
              </w:rPr>
            </w:pPr>
            <w:r>
              <w:rPr>
                <w:rFonts w:hint="eastAsia" w:ascii="仿宋" w:hAnsi="仿宋" w:eastAsia="仿宋"/>
                <w:kern w:val="0"/>
                <w:sz w:val="24"/>
                <w:highlight w:val="none"/>
              </w:rPr>
              <w:t>环境效益</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仿宋" w:hAnsi="仿宋" w:eastAsia="仿宋" w:cs="Times New Roman"/>
                <w:sz w:val="24"/>
                <w:highlight w:val="none"/>
              </w:rPr>
            </w:pPr>
            <w:r>
              <w:rPr>
                <w:rFonts w:hint="eastAsia" w:ascii="仿宋" w:hAnsi="仿宋" w:eastAsia="仿宋"/>
                <w:sz w:val="24"/>
                <w:highlight w:val="none"/>
              </w:rPr>
              <w:t>项目基本不产生设备噪声源，不会对周围环境造成危害。</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rPr>
                <w:rFonts w:ascii="仿宋" w:hAnsi="仿宋" w:eastAsia="仿宋" w:cs="Times New Roman"/>
                <w:kern w:val="0"/>
                <w:sz w:val="24"/>
                <w:highlight w:val="none"/>
              </w:rPr>
            </w:pPr>
            <w:r>
              <w:rPr>
                <w:rFonts w:hint="eastAsia" w:ascii="仿宋" w:hAnsi="仿宋" w:eastAsia="仿宋" w:cs="Times New Roman"/>
                <w:kern w:val="0"/>
                <w:sz w:val="24"/>
                <w:highlight w:val="none"/>
              </w:rPr>
              <w:t>项目设备均为直接采购不会对周围环境造成危害</w:t>
            </w:r>
          </w:p>
        </w:tc>
      </w:tr>
      <w:tr>
        <w:tblPrEx>
          <w:tblLayout w:type="fixed"/>
          <w:tblCellMar>
            <w:top w:w="0" w:type="dxa"/>
            <w:left w:w="0" w:type="dxa"/>
            <w:bottom w:w="0" w:type="dxa"/>
            <w:right w:w="0" w:type="dxa"/>
          </w:tblCellMar>
        </w:tblPrEx>
        <w:trPr>
          <w:gridAfter w:val="1"/>
          <w:wAfter w:w="7" w:type="dxa"/>
          <w:trHeight w:val="927"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服务对象</w:t>
            </w:r>
          </w:p>
          <w:p>
            <w:pPr>
              <w:widowControl/>
              <w:jc w:val="center"/>
              <w:textAlignment w:val="center"/>
              <w:rPr>
                <w:rFonts w:ascii="仿宋_GB2312" w:hAnsi="Arial" w:eastAsia="仿宋_GB2312" w:cs="仿宋_GB2312"/>
                <w:kern w:val="0"/>
                <w:sz w:val="24"/>
                <w:highlight w:val="none"/>
              </w:rPr>
            </w:pPr>
            <w:r>
              <w:rPr>
                <w:rFonts w:hint="eastAsia" w:ascii="Times New Roman" w:hAnsi="Times New Roman" w:eastAsia="仿宋_GB2312" w:cs="Times New Roman"/>
                <w:sz w:val="24"/>
                <w:highlight w:val="none"/>
              </w:rPr>
              <w:t>满意度指标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服务对象满意度</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不小于9</w:t>
            </w:r>
            <w:r>
              <w:rPr>
                <w:rFonts w:ascii="仿宋" w:hAnsi="仿宋" w:eastAsia="仿宋"/>
                <w:kern w:val="0"/>
                <w:sz w:val="24"/>
                <w:highlight w:val="none"/>
              </w:rPr>
              <w:t>8</w:t>
            </w:r>
            <w:r>
              <w:rPr>
                <w:rFonts w:hint="eastAsia" w:ascii="仿宋" w:hAnsi="仿宋" w:eastAsia="仿宋"/>
                <w:kern w:val="0"/>
                <w:sz w:val="24"/>
                <w:highlight w:val="none"/>
              </w:rPr>
              <w:t>%</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1</w:t>
            </w:r>
            <w:r>
              <w:rPr>
                <w:rFonts w:ascii="仿宋" w:hAnsi="仿宋" w:eastAsia="仿宋" w:cs="Times New Roman"/>
                <w:sz w:val="24"/>
                <w:highlight w:val="none"/>
              </w:rPr>
              <w:t>00</w:t>
            </w:r>
            <w:r>
              <w:rPr>
                <w:rFonts w:hint="eastAsia" w:ascii="仿宋" w:hAnsi="仿宋" w:eastAsia="仿宋" w:cs="Times New Roman"/>
                <w:sz w:val="24"/>
                <w:highlight w:val="none"/>
              </w:rPr>
              <w:t>%</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restart"/>
            <w:tcBorders>
              <w:top w:val="single" w:color="auto"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r>
              <w:rPr>
                <w:rFonts w:ascii="Times New Roman" w:hAnsi="Times New Roman" w:eastAsia="仿宋_GB2312" w:cs="Times New Roman"/>
                <w:sz w:val="24"/>
                <w:highlight w:val="none"/>
              </w:rPr>
              <w:t>可持续影响指标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信创适配相关的问题库、知识库、解决方案库</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形成</w:t>
            </w:r>
            <w:r>
              <w:rPr>
                <w:rFonts w:ascii="仿宋" w:hAnsi="仿宋" w:eastAsia="仿宋"/>
                <w:kern w:val="0"/>
                <w:sz w:val="24"/>
                <w:highlight w:val="none"/>
              </w:rPr>
              <w:t>2个以上基于信创适配相关的问题库、知识库、解决方案库</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Times New Roman"/>
                <w:sz w:val="24"/>
                <w:highlight w:val="none"/>
              </w:rPr>
            </w:pPr>
            <w:r>
              <w:rPr>
                <w:rFonts w:hint="eastAsia" w:ascii="仿宋" w:hAnsi="仿宋" w:eastAsia="仿宋" w:cs="Times New Roman"/>
                <w:sz w:val="24"/>
                <w:highlight w:val="none"/>
              </w:rPr>
              <w:t>完成了“TYJR一人一档行业解决方案”、“天元智法互联网调仲系统解决方案”和“TYJR双拥工作信息化平台行业解决方案”等3个以上基于信创适配的解决方案库。</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项目能持续应用的场景数</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同行业可推广场景数不少于</w:t>
            </w:r>
            <w:r>
              <w:rPr>
                <w:rFonts w:ascii="仿宋" w:hAnsi="仿宋" w:eastAsia="仿宋"/>
                <w:kern w:val="0"/>
                <w:sz w:val="24"/>
                <w:highlight w:val="none"/>
              </w:rPr>
              <w:t>5</w:t>
            </w:r>
            <w:r>
              <w:rPr>
                <w:rFonts w:hint="eastAsia" w:ascii="仿宋" w:hAnsi="仿宋" w:eastAsia="仿宋"/>
                <w:kern w:val="0"/>
                <w:sz w:val="24"/>
                <w:highlight w:val="none"/>
              </w:rPr>
              <w:t>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5个</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产业化推广</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配备</w:t>
            </w:r>
            <w:r>
              <w:rPr>
                <w:rFonts w:hint="eastAsia" w:ascii="仿宋" w:hAnsi="仿宋" w:eastAsia="仿宋"/>
                <w:kern w:val="0"/>
                <w:sz w:val="24"/>
                <w:highlight w:val="none"/>
              </w:rPr>
              <w:t>不少于1</w:t>
            </w:r>
            <w:r>
              <w:rPr>
                <w:rFonts w:ascii="仿宋" w:hAnsi="仿宋" w:eastAsia="仿宋"/>
                <w:kern w:val="0"/>
                <w:sz w:val="24"/>
                <w:highlight w:val="none"/>
              </w:rPr>
              <w:t>0</w:t>
            </w:r>
            <w:r>
              <w:rPr>
                <w:rFonts w:hint="eastAsia" w:ascii="仿宋" w:hAnsi="仿宋" w:eastAsia="仿宋"/>
                <w:kern w:val="0"/>
                <w:sz w:val="24"/>
                <w:highlight w:val="none"/>
              </w:rPr>
              <w:t>名技术骨干与销售部门人员</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1</w:t>
            </w:r>
            <w:r>
              <w:rPr>
                <w:rFonts w:ascii="仿宋" w:hAnsi="仿宋" w:eastAsia="仿宋" w:cs="Times New Roman"/>
                <w:sz w:val="24"/>
                <w:highlight w:val="none"/>
              </w:rPr>
              <w:t>0</w:t>
            </w:r>
            <w:r>
              <w:rPr>
                <w:rFonts w:hint="eastAsia" w:ascii="仿宋" w:hAnsi="仿宋" w:eastAsia="仿宋" w:cs="Times New Roman"/>
                <w:sz w:val="24"/>
                <w:highlight w:val="none"/>
              </w:rPr>
              <w:t>名</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销售网</w:t>
            </w:r>
            <w:r>
              <w:rPr>
                <w:rFonts w:hint="eastAsia" w:ascii="仿宋" w:hAnsi="仿宋" w:eastAsia="仿宋"/>
                <w:kern w:val="0"/>
                <w:sz w:val="24"/>
                <w:highlight w:val="none"/>
              </w:rPr>
              <w:t>点建设</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省内、省外各5个以上的</w:t>
            </w:r>
            <w:r>
              <w:rPr>
                <w:rFonts w:ascii="仿宋" w:hAnsi="仿宋" w:eastAsia="仿宋"/>
                <w:kern w:val="0"/>
                <w:sz w:val="24"/>
                <w:highlight w:val="none"/>
              </w:rPr>
              <w:t>销售服务网</w:t>
            </w:r>
            <w:r>
              <w:rPr>
                <w:rFonts w:hint="eastAsia" w:ascii="仿宋" w:hAnsi="仿宋" w:eastAsia="仿宋"/>
                <w:kern w:val="0"/>
                <w:sz w:val="24"/>
                <w:highlight w:val="none"/>
              </w:rPr>
              <w:t>点</w:t>
            </w:r>
            <w:r>
              <w:rPr>
                <w:rFonts w:ascii="仿宋" w:hAnsi="仿宋" w:eastAsia="仿宋"/>
                <w:kern w:val="0"/>
                <w:sz w:val="24"/>
                <w:highlight w:val="none"/>
              </w:rPr>
              <w:t>。</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Times New Roman"/>
                <w:sz w:val="24"/>
                <w:highlight w:val="none"/>
              </w:rPr>
            </w:pPr>
            <w:r>
              <w:rPr>
                <w:rFonts w:hint="eastAsia" w:ascii="仿宋" w:hAnsi="仿宋" w:eastAsia="仿宋" w:cs="Times New Roman"/>
                <w:sz w:val="24"/>
                <w:highlight w:val="none"/>
              </w:rPr>
              <w:t>建立以广州为中心以深圳、汕头、珠海、东莞、湛江、韶关为主要网点的广东省销售服务网和以西安、武汉、重庆、成都、厦门、南昌为主要网点的全国销售服务网。</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平台和业务系统开发</w:t>
            </w:r>
            <w:r>
              <w:rPr>
                <w:rFonts w:ascii="仿宋" w:hAnsi="仿宋" w:eastAsia="仿宋"/>
                <w:kern w:val="0"/>
                <w:sz w:val="24"/>
                <w:highlight w:val="none"/>
              </w:rPr>
              <w:t>。</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ascii="仿宋" w:hAnsi="仿宋" w:eastAsia="仿宋"/>
                <w:kern w:val="0"/>
                <w:sz w:val="24"/>
                <w:highlight w:val="none"/>
              </w:rPr>
              <w:t>配备</w:t>
            </w:r>
            <w:r>
              <w:rPr>
                <w:rFonts w:hint="eastAsia" w:ascii="仿宋" w:hAnsi="仿宋" w:eastAsia="仿宋"/>
                <w:kern w:val="0"/>
                <w:sz w:val="24"/>
                <w:highlight w:val="none"/>
              </w:rPr>
              <w:t>不少于8名产品研发技术骨干持续开发</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8名技术人员</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TYJR数据</w:t>
            </w:r>
            <w:r>
              <w:rPr>
                <w:rFonts w:ascii="仿宋" w:hAnsi="仿宋" w:eastAsia="仿宋"/>
                <w:kern w:val="0"/>
                <w:sz w:val="24"/>
                <w:highlight w:val="none"/>
              </w:rPr>
              <w:t>标准</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建立和完善1套服务于TYJR“一人一档数据平台”的数据标准</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Times New Roman"/>
                <w:sz w:val="24"/>
                <w:highlight w:val="none"/>
              </w:rPr>
            </w:pPr>
            <w:r>
              <w:rPr>
                <w:rFonts w:hint="eastAsia" w:ascii="仿宋" w:hAnsi="仿宋" w:eastAsia="仿宋"/>
                <w:kern w:val="0"/>
                <w:sz w:val="24"/>
                <w:highlight w:val="none"/>
              </w:rPr>
              <w:t>建立和完善1套服务于TYJR“一人一档数据平台”的数据标准</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restart"/>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r>
              <w:rPr>
                <w:kern w:val="0"/>
                <w:highlight w:val="none"/>
              </w:rPr>
              <w:t>其他指标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ascii="仿宋" w:hAnsi="仿宋" w:eastAsia="仿宋"/>
                <w:kern w:val="0"/>
                <w:sz w:val="24"/>
                <w:highlight w:val="none"/>
              </w:rPr>
              <w:t>软件著作权</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完成软件</w:t>
            </w:r>
            <w:r>
              <w:rPr>
                <w:rFonts w:ascii="仿宋" w:hAnsi="仿宋" w:eastAsia="仿宋"/>
                <w:kern w:val="0"/>
                <w:sz w:val="24"/>
                <w:highlight w:val="none"/>
              </w:rPr>
              <w:t>著作权</w:t>
            </w:r>
            <w:r>
              <w:rPr>
                <w:rFonts w:hint="eastAsia" w:ascii="仿宋" w:hAnsi="仿宋" w:eastAsia="仿宋"/>
                <w:kern w:val="0"/>
                <w:sz w:val="24"/>
                <w:highlight w:val="none"/>
              </w:rPr>
              <w:t>不少于</w:t>
            </w:r>
            <w:r>
              <w:rPr>
                <w:rFonts w:ascii="仿宋" w:hAnsi="仿宋" w:eastAsia="仿宋"/>
                <w:kern w:val="0"/>
                <w:sz w:val="24"/>
                <w:highlight w:val="none"/>
              </w:rPr>
              <w:t>2项</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Times New Roman"/>
                <w:sz w:val="24"/>
                <w:highlight w:val="none"/>
              </w:rPr>
            </w:pPr>
            <w:r>
              <w:rPr>
                <w:rFonts w:hint="eastAsia" w:ascii="仿宋" w:hAnsi="仿宋" w:eastAsia="仿宋" w:cs="Times New Roman"/>
                <w:sz w:val="24"/>
                <w:highlight w:val="none"/>
              </w:rPr>
              <w:t>完成2个软件著作权的 申请，分别为TYJR服务系统，证书编 号：2020SR0790132和TYJR业 务办理系统，证书编 号：2020SR0790125。</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业务应用系统信创适配认证</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完成信创技术产品适配认证不少于</w:t>
            </w:r>
            <w:r>
              <w:rPr>
                <w:rFonts w:ascii="仿宋" w:hAnsi="仿宋" w:eastAsia="仿宋"/>
                <w:kern w:val="0"/>
                <w:sz w:val="24"/>
                <w:highlight w:val="none"/>
              </w:rPr>
              <w:t>50</w:t>
            </w:r>
            <w:r>
              <w:rPr>
                <w:rFonts w:hint="eastAsia" w:ascii="仿宋" w:hAnsi="仿宋" w:eastAsia="仿宋"/>
                <w:kern w:val="0"/>
                <w:sz w:val="24"/>
                <w:highlight w:val="none"/>
              </w:rPr>
              <w:t>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Times New Roman"/>
                <w:sz w:val="24"/>
                <w:highlight w:val="none"/>
              </w:rPr>
            </w:pPr>
            <w:r>
              <w:rPr>
                <w:rFonts w:hint="eastAsia" w:ascii="仿宋" w:hAnsi="仿宋" w:eastAsia="仿宋" w:cs="Times New Roman"/>
                <w:sz w:val="24"/>
                <w:highlight w:val="none"/>
              </w:rPr>
              <w:t>已有和新开发的8个软件产品获得信创技术产品适配认证证书69个</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开展信息技术应用创新用户培训人次</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不少于</w:t>
            </w:r>
            <w:r>
              <w:rPr>
                <w:rFonts w:ascii="仿宋" w:hAnsi="仿宋" w:eastAsia="仿宋"/>
                <w:kern w:val="0"/>
                <w:sz w:val="24"/>
                <w:highlight w:val="none"/>
              </w:rPr>
              <w:t>21</w:t>
            </w:r>
            <w:r>
              <w:rPr>
                <w:rFonts w:hint="eastAsia" w:ascii="仿宋" w:hAnsi="仿宋" w:eastAsia="仿宋"/>
                <w:kern w:val="0"/>
                <w:sz w:val="24"/>
                <w:highlight w:val="none"/>
              </w:rPr>
              <w:t>人次</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rPr>
                <w:rFonts w:ascii="仿宋" w:hAnsi="仿宋" w:eastAsia="仿宋" w:cs="Times New Roman"/>
                <w:sz w:val="24"/>
                <w:highlight w:val="none"/>
              </w:rPr>
            </w:pPr>
            <w:r>
              <w:rPr>
                <w:rFonts w:hint="eastAsia" w:ascii="仿宋" w:hAnsi="仿宋" w:eastAsia="仿宋" w:cs="Times New Roman"/>
                <w:sz w:val="24"/>
                <w:highlight w:val="none"/>
              </w:rPr>
              <w:t>（1）完成IIQAPT信创质量认证工程师7人。</w:t>
            </w:r>
          </w:p>
          <w:p>
            <w:pPr>
              <w:spacing w:line="360" w:lineRule="auto"/>
              <w:rPr>
                <w:rFonts w:ascii="仿宋" w:hAnsi="仿宋" w:eastAsia="仿宋" w:cs="Times New Roman"/>
                <w:sz w:val="24"/>
                <w:highlight w:val="none"/>
              </w:rPr>
            </w:pPr>
            <w:r>
              <w:rPr>
                <w:rFonts w:hint="eastAsia" w:ascii="仿宋" w:hAnsi="仿宋" w:eastAsia="仿宋" w:cs="Times New Roman"/>
                <w:sz w:val="24"/>
                <w:highlight w:val="none"/>
              </w:rPr>
              <w:t>（</w:t>
            </w:r>
            <w:r>
              <w:rPr>
                <w:rFonts w:ascii="仿宋" w:hAnsi="仿宋" w:eastAsia="仿宋" w:cs="Times New Roman"/>
                <w:sz w:val="24"/>
                <w:highlight w:val="none"/>
              </w:rPr>
              <w:t>2</w:t>
            </w:r>
            <w:r>
              <w:rPr>
                <w:rFonts w:hint="eastAsia" w:ascii="仿宋" w:hAnsi="仿宋" w:eastAsia="仿宋" w:cs="Times New Roman"/>
                <w:sz w:val="24"/>
                <w:highlight w:val="none"/>
              </w:rPr>
              <w:t>）完成达梦数据库认证工程师8人。</w:t>
            </w:r>
          </w:p>
          <w:p>
            <w:pPr>
              <w:spacing w:line="360" w:lineRule="auto"/>
              <w:rPr>
                <w:rFonts w:ascii="仿宋" w:hAnsi="仿宋" w:eastAsia="仿宋" w:cs="Times New Roman"/>
                <w:sz w:val="24"/>
                <w:highlight w:val="none"/>
              </w:rPr>
            </w:pPr>
            <w:r>
              <w:rPr>
                <w:rFonts w:hint="eastAsia" w:ascii="仿宋" w:hAnsi="仿宋" w:eastAsia="仿宋" w:cs="Times New Roman"/>
                <w:sz w:val="24"/>
                <w:highlight w:val="none"/>
              </w:rPr>
              <w:t>（</w:t>
            </w:r>
            <w:r>
              <w:rPr>
                <w:rFonts w:ascii="仿宋" w:hAnsi="仿宋" w:eastAsia="仿宋" w:cs="Times New Roman"/>
                <w:sz w:val="24"/>
                <w:highlight w:val="none"/>
              </w:rPr>
              <w:t>3</w:t>
            </w:r>
            <w:r>
              <w:rPr>
                <w:rFonts w:hint="eastAsia" w:ascii="仿宋" w:hAnsi="仿宋" w:eastAsia="仿宋" w:cs="Times New Roman"/>
                <w:sz w:val="24"/>
                <w:highlight w:val="none"/>
              </w:rPr>
              <w:t>）完成麒麟软件认证工程师4人。</w:t>
            </w:r>
          </w:p>
          <w:p>
            <w:pPr>
              <w:spacing w:line="360" w:lineRule="auto"/>
              <w:rPr>
                <w:rFonts w:ascii="仿宋" w:hAnsi="仿宋" w:eastAsia="仿宋" w:cs="Times New Roman"/>
                <w:sz w:val="24"/>
                <w:highlight w:val="none"/>
              </w:rPr>
            </w:pPr>
            <w:r>
              <w:rPr>
                <w:rFonts w:hint="eastAsia" w:ascii="仿宋" w:hAnsi="仿宋" w:eastAsia="仿宋" w:cs="Times New Roman"/>
                <w:sz w:val="24"/>
                <w:highlight w:val="none"/>
              </w:rPr>
              <w:t>（</w:t>
            </w:r>
            <w:r>
              <w:rPr>
                <w:rFonts w:ascii="仿宋" w:hAnsi="仿宋" w:eastAsia="仿宋" w:cs="Times New Roman"/>
                <w:sz w:val="24"/>
                <w:highlight w:val="none"/>
              </w:rPr>
              <w:t>4</w:t>
            </w:r>
            <w:r>
              <w:rPr>
                <w:rFonts w:hint="eastAsia" w:ascii="仿宋" w:hAnsi="仿宋" w:eastAsia="仿宋" w:cs="Times New Roman"/>
                <w:sz w:val="24"/>
                <w:highlight w:val="none"/>
              </w:rPr>
              <w:t>）完成人大金仓KCA认证工程师1人。</w:t>
            </w:r>
          </w:p>
          <w:p>
            <w:pPr>
              <w:spacing w:line="360" w:lineRule="auto"/>
              <w:rPr>
                <w:rFonts w:ascii="仿宋" w:hAnsi="仿宋" w:eastAsia="仿宋" w:cs="Times New Roman"/>
                <w:sz w:val="24"/>
                <w:highlight w:val="none"/>
              </w:rPr>
            </w:pPr>
            <w:r>
              <w:rPr>
                <w:rFonts w:hint="eastAsia" w:ascii="仿宋" w:hAnsi="仿宋" w:eastAsia="仿宋" w:cs="Times New Roman"/>
                <w:sz w:val="24"/>
                <w:highlight w:val="none"/>
              </w:rPr>
              <w:t>（</w:t>
            </w:r>
            <w:r>
              <w:rPr>
                <w:rFonts w:ascii="仿宋" w:hAnsi="仿宋" w:eastAsia="仿宋" w:cs="Times New Roman"/>
                <w:sz w:val="24"/>
                <w:highlight w:val="none"/>
              </w:rPr>
              <w:t>5</w:t>
            </w:r>
            <w:r>
              <w:rPr>
                <w:rFonts w:hint="eastAsia" w:ascii="仿宋" w:hAnsi="仿宋" w:eastAsia="仿宋" w:cs="Times New Roman"/>
                <w:sz w:val="24"/>
                <w:highlight w:val="none"/>
              </w:rPr>
              <w:t>）完成人大金仓KCP认证工程师1人。</w:t>
            </w:r>
          </w:p>
        </w:tc>
      </w:tr>
      <w:tr>
        <w:tblPrEx>
          <w:tblLayout w:type="fixed"/>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用户数量及活跃度</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kern w:val="0"/>
                <w:sz w:val="24"/>
                <w:highlight w:val="none"/>
              </w:rPr>
            </w:pPr>
            <w:r>
              <w:rPr>
                <w:rFonts w:hint="eastAsia" w:ascii="仿宋" w:hAnsi="仿宋" w:eastAsia="仿宋"/>
                <w:kern w:val="0"/>
                <w:sz w:val="24"/>
                <w:highlight w:val="none"/>
              </w:rPr>
              <w:t>项目涉及的用户规模不少于</w:t>
            </w:r>
            <w:r>
              <w:rPr>
                <w:rFonts w:hint="eastAsia" w:ascii="仿宋" w:hAnsi="仿宋" w:eastAsia="仿宋"/>
                <w:kern w:val="0"/>
                <w:sz w:val="24"/>
                <w:highlight w:val="none"/>
                <w:lang w:val="en-US" w:eastAsia="zh-CN"/>
              </w:rPr>
              <w:t>5</w:t>
            </w:r>
            <w:r>
              <w:rPr>
                <w:rFonts w:ascii="仿宋" w:hAnsi="仿宋" w:eastAsia="仿宋"/>
                <w:kern w:val="0"/>
                <w:sz w:val="24"/>
                <w:highlight w:val="none"/>
              </w:rPr>
              <w:t>000名，其中活跃用户</w:t>
            </w:r>
            <w:r>
              <w:rPr>
                <w:rFonts w:hint="eastAsia" w:ascii="仿宋" w:hAnsi="仿宋" w:eastAsia="仿宋"/>
                <w:kern w:val="0"/>
                <w:sz w:val="24"/>
                <w:highlight w:val="none"/>
              </w:rPr>
              <w:t>不少于</w:t>
            </w:r>
            <w:r>
              <w:rPr>
                <w:rFonts w:ascii="仿宋" w:hAnsi="仿宋" w:eastAsia="仿宋"/>
                <w:kern w:val="0"/>
                <w:sz w:val="24"/>
                <w:highlight w:val="none"/>
              </w:rPr>
              <w:t>1000名</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Times New Roman"/>
                <w:sz w:val="24"/>
                <w:highlight w:val="none"/>
              </w:rPr>
            </w:pPr>
            <w:r>
              <w:rPr>
                <w:rFonts w:hint="eastAsia" w:ascii="仿宋" w:hAnsi="仿宋" w:eastAsia="仿宋" w:cs="Times New Roman"/>
                <w:sz w:val="24"/>
                <w:highlight w:val="none"/>
              </w:rPr>
              <w:t>项目涉及的用户（工作人员、退役军人2</w:t>
            </w:r>
            <w:r>
              <w:rPr>
                <w:rFonts w:ascii="仿宋" w:hAnsi="仿宋" w:eastAsia="仿宋" w:cs="Times New Roman"/>
                <w:sz w:val="24"/>
                <w:highlight w:val="none"/>
              </w:rPr>
              <w:t>8</w:t>
            </w:r>
            <w:r>
              <w:rPr>
                <w:rFonts w:hint="eastAsia" w:ascii="仿宋" w:hAnsi="仿宋" w:eastAsia="仿宋" w:cs="Times New Roman"/>
                <w:sz w:val="24"/>
                <w:highlight w:val="none"/>
              </w:rPr>
              <w:t>万人、优抚对象等）规模超过6000名，其中活跃用户达到1000名。</w:t>
            </w:r>
          </w:p>
        </w:tc>
      </w:tr>
      <w:bookmarkEnd w:id="0"/>
    </w:tbl>
    <w:p>
      <w:pPr>
        <w:widowControl/>
        <w:numPr>
          <w:ilvl w:val="0"/>
          <w:numId w:val="3"/>
        </w:numPr>
        <w:ind w:firstLine="321" w:firstLineChars="100"/>
        <w:jc w:val="center"/>
        <w:textAlignment w:val="bottom"/>
        <w:rPr>
          <w:rFonts w:ascii="宋体" w:hAnsi="宋体" w:eastAsia="宋体" w:cs="宋体"/>
          <w:b/>
          <w:color w:val="00000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numPr>
          <w:ilvl w:val="0"/>
          <w:numId w:val="0"/>
        </w:numPr>
        <w:jc w:val="center"/>
        <w:textAlignment w:val="bottom"/>
        <w:rPr>
          <w:rFonts w:ascii="宋体" w:hAnsi="宋体" w:cs="宋体"/>
          <w:b/>
          <w:color w:val="000000"/>
          <w:sz w:val="32"/>
          <w:szCs w:val="32"/>
          <w:highlight w:val="none"/>
        </w:rPr>
      </w:pPr>
      <w:r>
        <w:rPr>
          <w:rFonts w:hint="eastAsia" w:ascii="宋体" w:hAnsi="宋体" w:cs="宋体"/>
          <w:b/>
          <w:color w:val="000000"/>
          <w:sz w:val="32"/>
          <w:szCs w:val="32"/>
          <w:highlight w:val="none"/>
          <w:lang w:val="en-US" w:eastAsia="zh-CN"/>
        </w:rPr>
        <w:t>三、</w:t>
      </w:r>
      <w:r>
        <w:rPr>
          <w:rFonts w:hint="eastAsia" w:ascii="宋体" w:hAnsi="宋体" w:cs="宋体"/>
          <w:b/>
          <w:color w:val="000000"/>
          <w:sz w:val="32"/>
          <w:szCs w:val="32"/>
          <w:highlight w:val="none"/>
        </w:rPr>
        <w:t>平安银行股份有限公司</w:t>
      </w:r>
    </w:p>
    <w:tbl>
      <w:tblPr>
        <w:tblStyle w:val="6"/>
        <w:tblW w:w="8774" w:type="dxa"/>
        <w:tblInd w:w="0" w:type="dxa"/>
        <w:tblLayout w:type="fixed"/>
        <w:tblCellMar>
          <w:top w:w="0" w:type="dxa"/>
          <w:left w:w="0" w:type="dxa"/>
          <w:bottom w:w="0" w:type="dxa"/>
          <w:right w:w="0" w:type="dxa"/>
        </w:tblCellMar>
      </w:tblPr>
      <w:tblGrid>
        <w:gridCol w:w="220"/>
        <w:gridCol w:w="529"/>
        <w:gridCol w:w="655"/>
        <w:gridCol w:w="1585"/>
        <w:gridCol w:w="2067"/>
        <w:gridCol w:w="600"/>
        <w:gridCol w:w="3118"/>
      </w:tblGrid>
      <w:tr>
        <w:tblPrEx>
          <w:tblLayout w:type="fixed"/>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项目名称</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sz w:val="24"/>
                <w:highlight w:val="none"/>
              </w:rPr>
              <w:t>大数据机房网络及日志归档国产化项目</w:t>
            </w:r>
          </w:p>
        </w:tc>
      </w:tr>
      <w:tr>
        <w:tblPrEx>
          <w:tblLayout w:type="fixed"/>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项目单位</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平安银行股份有限公司</w:t>
            </w:r>
          </w:p>
        </w:tc>
      </w:tr>
      <w:tr>
        <w:tblPrEx>
          <w:tblLayout w:type="fixed"/>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资金类型</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省级财政专项资金</w:t>
            </w:r>
          </w:p>
        </w:tc>
      </w:tr>
      <w:tr>
        <w:tblPrEx>
          <w:tblLayout w:type="fixed"/>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项目等级</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二级项目</w:t>
            </w:r>
          </w:p>
        </w:tc>
      </w:tr>
      <w:tr>
        <w:tblPrEx>
          <w:tblLayout w:type="fixed"/>
          <w:tblCellMar>
            <w:top w:w="0" w:type="dxa"/>
            <w:left w:w="0" w:type="dxa"/>
            <w:bottom w:w="0" w:type="dxa"/>
            <w:right w:w="0" w:type="dxa"/>
          </w:tblCellMar>
        </w:tblPrEx>
        <w:trPr>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省级主管部门</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广东省工业和信息化厅</w:t>
            </w:r>
          </w:p>
        </w:tc>
        <w:tc>
          <w:tcPr>
            <w:tcW w:w="2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实施单位</w:t>
            </w:r>
          </w:p>
        </w:tc>
        <w:tc>
          <w:tcPr>
            <w:tcW w:w="371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平安银行股份有限公司</w:t>
            </w:r>
          </w:p>
        </w:tc>
      </w:tr>
      <w:tr>
        <w:tblPrEx>
          <w:tblLayout w:type="fixed"/>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预算年度</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Arial" w:eastAsia="仿宋_GB2312" w:cs="仿宋_GB2312"/>
                <w:color w:val="000000"/>
                <w:sz w:val="24"/>
                <w:highlight w:val="none"/>
                <w:lang w:eastAsia="zh-CN"/>
              </w:rPr>
            </w:pPr>
            <w:r>
              <w:rPr>
                <w:rFonts w:hint="eastAsia" w:ascii="仿宋_GB2312" w:hAnsi="Arial" w:eastAsia="仿宋_GB2312" w:cs="仿宋_GB2312"/>
                <w:color w:val="000000"/>
                <w:sz w:val="24"/>
                <w:highlight w:val="none"/>
                <w:lang w:val="en-US" w:eastAsia="zh-CN"/>
              </w:rPr>
              <w:t>2022年</w:t>
            </w:r>
          </w:p>
        </w:tc>
      </w:tr>
      <w:tr>
        <w:tblPrEx>
          <w:tblLayout w:type="fixed"/>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资金需求</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Arial" w:eastAsia="仿宋_GB2312" w:cs="仿宋_GB2312"/>
                <w:color w:val="000000"/>
                <w:sz w:val="24"/>
                <w:highlight w:val="none"/>
                <w:lang w:eastAsia="zh-CN"/>
              </w:rPr>
            </w:pPr>
            <w:r>
              <w:rPr>
                <w:rFonts w:hint="eastAsia" w:ascii="仿宋_GB2312" w:hAnsi="Arial" w:eastAsia="仿宋_GB2312" w:cs="仿宋_GB2312"/>
                <w:color w:val="000000"/>
                <w:sz w:val="24"/>
                <w:highlight w:val="none"/>
                <w:lang w:val="en-US" w:eastAsia="zh-CN"/>
              </w:rPr>
              <w:t>1000万元</w:t>
            </w:r>
          </w:p>
        </w:tc>
      </w:tr>
      <w:tr>
        <w:tblPrEx>
          <w:tblLayout w:type="fixed"/>
          <w:tblCellMar>
            <w:top w:w="0" w:type="dxa"/>
            <w:left w:w="0" w:type="dxa"/>
            <w:bottom w:w="0" w:type="dxa"/>
            <w:right w:w="0" w:type="dxa"/>
          </w:tblCellMar>
        </w:tblPrEx>
        <w:trPr>
          <w:trHeight w:val="8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支出内容</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highlight w:val="none"/>
              </w:rPr>
            </w:pPr>
            <w:r>
              <w:rPr>
                <w:rFonts w:hint="eastAsia" w:ascii="仿宋_GB2312" w:hAnsi="Arial" w:eastAsia="仿宋_GB2312" w:cs="仿宋_GB2312"/>
                <w:color w:val="000000"/>
                <w:sz w:val="24"/>
                <w:highlight w:val="none"/>
                <w:lang w:val="en-US" w:eastAsia="zh-CN"/>
              </w:rPr>
              <w:t>用于本项目的</w:t>
            </w:r>
            <w:r>
              <w:rPr>
                <w:rFonts w:hint="eastAsia" w:ascii="仿宋_GB2312" w:hAnsi="Arial" w:eastAsia="仿宋_GB2312" w:cs="仿宋_GB2312"/>
                <w:color w:val="000000"/>
                <w:sz w:val="24"/>
                <w:highlight w:val="none"/>
              </w:rPr>
              <w:t>硬件购置费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软件购置费</w:t>
            </w:r>
            <w:r>
              <w:rPr>
                <w:rFonts w:hint="eastAsia" w:ascii="仿宋_GB2312" w:hAnsi="Arial" w:eastAsia="仿宋_GB2312" w:cs="仿宋_GB2312"/>
                <w:color w:val="000000"/>
                <w:sz w:val="24"/>
                <w:highlight w:val="none"/>
                <w:lang w:eastAsia="zh-CN"/>
              </w:rPr>
              <w:t>、</w:t>
            </w:r>
            <w:r>
              <w:rPr>
                <w:rFonts w:hint="eastAsia" w:ascii="仿宋_GB2312" w:hAnsi="Arial" w:eastAsia="仿宋_GB2312" w:cs="仿宋_GB2312"/>
                <w:color w:val="000000"/>
                <w:sz w:val="24"/>
                <w:highlight w:val="none"/>
              </w:rPr>
              <w:t>研发人员费</w:t>
            </w:r>
            <w:r>
              <w:rPr>
                <w:rFonts w:hint="eastAsia" w:ascii="仿宋_GB2312" w:hAnsi="Arial" w:eastAsia="仿宋_GB2312" w:cs="仿宋_GB2312"/>
                <w:color w:val="000000"/>
                <w:sz w:val="24"/>
                <w:highlight w:val="none"/>
                <w:lang w:val="en-US" w:eastAsia="zh-CN"/>
              </w:rPr>
              <w:t>等。</w:t>
            </w:r>
          </w:p>
        </w:tc>
      </w:tr>
      <w:tr>
        <w:tblPrEx>
          <w:tblLayout w:type="fixed"/>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政策依据</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ind w:leftChars="0"/>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321"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总体绩效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目标</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ind w:leftChars="0"/>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sz w:val="24"/>
                <w:highlight w:val="none"/>
                <w:lang w:val="en-US" w:eastAsia="zh-CN"/>
              </w:rPr>
              <w:t>完成东莞大数据机房网络设备100%国产化建设，在此基础上进行日志归档系统国产化实施，实现从网络到服务器、操作系统、应用软件的全栈国产化实施并完成实际生产。</w:t>
            </w:r>
          </w:p>
        </w:tc>
      </w:tr>
      <w:tr>
        <w:tblPrEx>
          <w:tblLayout w:type="fixed"/>
          <w:tblCellMar>
            <w:top w:w="0" w:type="dxa"/>
            <w:left w:w="0" w:type="dxa"/>
            <w:bottom w:w="0" w:type="dxa"/>
            <w:right w:w="0" w:type="dxa"/>
          </w:tblCellMar>
        </w:tblPrEx>
        <w:trPr>
          <w:trHeight w:val="731"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一级指标</w:t>
            </w: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三级指标</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指标值</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指标解释说明</w:t>
            </w:r>
          </w:p>
        </w:tc>
      </w:tr>
      <w:tr>
        <w:tblPrEx>
          <w:tblLayout w:type="fixed"/>
          <w:tblCellMar>
            <w:top w:w="0" w:type="dxa"/>
            <w:left w:w="0" w:type="dxa"/>
            <w:bottom w:w="0" w:type="dxa"/>
            <w:right w:w="0" w:type="dxa"/>
          </w:tblCellMar>
        </w:tblPrEx>
        <w:trPr>
          <w:trHeight w:val="90" w:hRule="atLeast"/>
        </w:trPr>
        <w:tc>
          <w:tcPr>
            <w:tcW w:w="220"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0"/>
                <w:szCs w:val="20"/>
                <w:highlight w:val="none"/>
              </w:rPr>
            </w:pPr>
            <w:r>
              <w:rPr>
                <w:rFonts w:hint="eastAsia" w:ascii="仿宋_GB2312" w:hAnsi="Arial" w:eastAsia="仿宋_GB2312" w:cs="仿宋_GB2312"/>
                <w:color w:val="000000"/>
                <w:kern w:val="0"/>
                <w:sz w:val="20"/>
                <w:szCs w:val="20"/>
                <w:highlight w:val="none"/>
              </w:rPr>
              <w:t>绩效指标</w:t>
            </w:r>
          </w:p>
        </w:tc>
        <w:tc>
          <w:tcPr>
            <w:tcW w:w="529"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产出指标</w:t>
            </w: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数量指标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1、项目使用自主知识产权软硬件产品的种类数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1、不少于4类（服务器、网络安全设备、操作系统、应用软件）</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2、用户活跃数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2、用户月活数量超过2000</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3、日志归档存储容量</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3、支持至少2PB存储容量，可按需扩展</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4、全行应用系统日志归档接入数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4、全行应用系统日志归档接入数超过1000个</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Times New Roman"/>
                <w:szCs w:val="21"/>
                <w:highlight w:val="none"/>
              </w:rPr>
            </w:pPr>
          </w:p>
        </w:tc>
      </w:tr>
      <w:tr>
        <w:tblPrEx>
          <w:tblLayout w:type="fixed"/>
          <w:tblCellMar>
            <w:top w:w="0" w:type="dxa"/>
            <w:left w:w="0" w:type="dxa"/>
            <w:bottom w:w="0" w:type="dxa"/>
            <w:right w:w="0" w:type="dxa"/>
          </w:tblCellMar>
        </w:tblPrEx>
        <w:trPr>
          <w:trHeight w:val="90"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质量指标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1、大数据组件兼容适配</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1、完成日志归档系统与国产操作系统及国产服务器适配</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822"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2、国产网络设备适配</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2、华为自研芯片和OS网络设备，与PC服务器、负载均衡、防火墙等设备对接无兼容性问题，运行稳定</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665"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时效指标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762" w:hRule="atLeast"/>
        </w:trPr>
        <w:tc>
          <w:tcPr>
            <w:tcW w:w="220"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restart"/>
            <w:tcBorders>
              <w:top w:val="nil"/>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标</w:t>
            </w:r>
          </w:p>
        </w:tc>
        <w:tc>
          <w:tcPr>
            <w:tcW w:w="655" w:type="dxa"/>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经济效益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575"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社会效益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554"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cs="Times New Roman"/>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color w:val="000000"/>
                <w:kern w:val="0"/>
                <w:sz w:val="24"/>
                <w:highlight w:val="none"/>
              </w:rPr>
            </w:pPr>
          </w:p>
        </w:tc>
      </w:tr>
      <w:tr>
        <w:tblPrEx>
          <w:tblLayout w:type="fixed"/>
          <w:tblCellMar>
            <w:top w:w="0" w:type="dxa"/>
            <w:left w:w="0" w:type="dxa"/>
            <w:bottom w:w="0" w:type="dxa"/>
            <w:right w:w="0" w:type="dxa"/>
          </w:tblCellMar>
        </w:tblPrEx>
        <w:trPr>
          <w:trHeight w:val="110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生态效益指标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color w:val="000000"/>
                <w:kern w:val="0"/>
                <w:sz w:val="24"/>
                <w:highlight w:val="none"/>
              </w:rPr>
            </w:pPr>
          </w:p>
        </w:tc>
      </w:tr>
      <w:tr>
        <w:tblPrEx>
          <w:tblLayout w:type="fixed"/>
          <w:tblCellMar>
            <w:top w:w="0" w:type="dxa"/>
            <w:left w:w="0" w:type="dxa"/>
            <w:bottom w:w="0" w:type="dxa"/>
            <w:right w:w="0" w:type="dxa"/>
          </w:tblCellMar>
        </w:tblPrEx>
        <w:trPr>
          <w:trHeight w:val="92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服务对象</w:t>
            </w:r>
          </w:p>
          <w:p>
            <w:pPr>
              <w:widowControl/>
              <w:jc w:val="center"/>
              <w:textAlignment w:val="center"/>
              <w:rPr>
                <w:rFonts w:ascii="仿宋_GB2312" w:hAnsi="Arial" w:eastAsia="仿宋_GB2312" w:cs="仿宋_GB2312"/>
                <w:color w:val="000000"/>
                <w:kern w:val="0"/>
                <w:sz w:val="24"/>
                <w:highlight w:val="none"/>
              </w:rPr>
            </w:pPr>
            <w:r>
              <w:rPr>
                <w:rFonts w:hint="eastAsia" w:ascii="Times New Roman" w:hAnsi="Times New Roman" w:eastAsia="仿宋_GB2312" w:cs="Times New Roman"/>
                <w:sz w:val="24"/>
                <w:highlight w:val="none"/>
              </w:rPr>
              <w:t>满意度指标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Times New Roman"/>
                <w:szCs w:val="21"/>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Times New Roman"/>
                <w:szCs w:val="21"/>
                <w:highlight w:val="none"/>
              </w:rPr>
            </w:pPr>
          </w:p>
        </w:tc>
      </w:tr>
      <w:tr>
        <w:tblPrEx>
          <w:tblLayout w:type="fixed"/>
          <w:tblCellMar>
            <w:top w:w="0" w:type="dxa"/>
            <w:left w:w="0" w:type="dxa"/>
            <w:bottom w:w="0" w:type="dxa"/>
            <w:right w:w="0" w:type="dxa"/>
          </w:tblCellMar>
        </w:tblPrEx>
        <w:trPr>
          <w:trHeight w:val="9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Times New Roman"/>
                <w:szCs w:val="21"/>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Times New Roman"/>
                <w:szCs w:val="21"/>
                <w:highlight w:val="none"/>
              </w:rPr>
            </w:pPr>
          </w:p>
        </w:tc>
      </w:tr>
      <w:tr>
        <w:tblPrEx>
          <w:tblLayout w:type="fixed"/>
          <w:tblCellMar>
            <w:top w:w="0" w:type="dxa"/>
            <w:left w:w="0" w:type="dxa"/>
            <w:bottom w:w="0" w:type="dxa"/>
            <w:right w:w="0" w:type="dxa"/>
          </w:tblCellMar>
        </w:tblPrEx>
        <w:trPr>
          <w:trHeight w:val="127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bookmarkStart w:id="1" w:name="_GoBack" w:colFirst="3" w:colLast="4"/>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ascii="Times New Roman" w:hAnsi="Times New Roman" w:eastAsia="仿宋_GB2312" w:cs="Times New Roman"/>
                <w:sz w:val="24"/>
                <w:highlight w:val="none"/>
              </w:rPr>
              <w:t>可持续影响指标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项目在落地应用过程中总结形成的本单位问题库、知识库、解决方案库、服务评价指标体系数量</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仿宋_GB2312" w:hAnsi="Arial" w:eastAsia="仿宋_GB2312" w:cs="仿宋_GB2312"/>
                <w:color w:val="000000"/>
                <w:sz w:val="24"/>
                <w:highlight w:val="none"/>
                <w:lang w:val="en-US" w:eastAsia="zh-CN"/>
              </w:rPr>
            </w:pPr>
            <w:r>
              <w:rPr>
                <w:rFonts w:hint="eastAsia" w:ascii="仿宋_GB2312" w:hAnsi="Arial" w:eastAsia="仿宋_GB2312" w:cs="仿宋_GB2312"/>
                <w:color w:val="000000"/>
                <w:sz w:val="24"/>
                <w:highlight w:val="none"/>
                <w:lang w:val="en-US" w:eastAsia="zh-CN"/>
              </w:rPr>
              <w:t>不少于2个知识库（国产操作系统和应用日志归档系统知识库）</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ascii="宋体" w:hAnsi="宋体" w:cs="Times New Roman"/>
                <w:szCs w:val="21"/>
                <w:highlight w:val="none"/>
              </w:rPr>
            </w:pPr>
          </w:p>
        </w:tc>
      </w:tr>
      <w:bookmarkEnd w:id="1"/>
    </w:tbl>
    <w:p>
      <w:pPr>
        <w:rPr>
          <w:highlight w:val="none"/>
        </w:rPr>
      </w:pP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numPr>
          <w:ilvl w:val="0"/>
          <w:numId w:val="0"/>
        </w:numPr>
        <w:jc w:val="center"/>
        <w:textAlignment w:val="bottom"/>
        <w:rPr>
          <w:rFonts w:ascii="宋体" w:hAnsi="宋体" w:cs="宋体"/>
          <w:b/>
          <w:color w:val="000000"/>
          <w:sz w:val="32"/>
          <w:szCs w:val="32"/>
          <w:highlight w:val="none"/>
        </w:rPr>
      </w:pPr>
      <w:r>
        <w:rPr>
          <w:rFonts w:hint="eastAsia" w:ascii="宋体" w:hAnsi="宋体" w:cs="宋体"/>
          <w:b/>
          <w:color w:val="000000"/>
          <w:sz w:val="32"/>
          <w:szCs w:val="32"/>
          <w:highlight w:val="none"/>
          <w:lang w:val="en-US" w:eastAsia="zh-CN"/>
        </w:rPr>
        <w:t>四、</w:t>
      </w:r>
      <w:r>
        <w:rPr>
          <w:rFonts w:hint="eastAsia" w:ascii="宋体" w:hAnsi="宋体" w:cs="宋体"/>
          <w:b/>
          <w:color w:val="000000"/>
          <w:sz w:val="32"/>
          <w:szCs w:val="32"/>
          <w:highlight w:val="none"/>
        </w:rPr>
        <w:t>梅州客商银行股份有限公司</w:t>
      </w:r>
    </w:p>
    <w:tbl>
      <w:tblPr>
        <w:tblStyle w:val="6"/>
        <w:tblW w:w="8774" w:type="dxa"/>
        <w:tblInd w:w="0" w:type="dxa"/>
        <w:tblLayout w:type="fixed"/>
        <w:tblCellMar>
          <w:top w:w="0" w:type="dxa"/>
          <w:left w:w="0" w:type="dxa"/>
          <w:bottom w:w="0" w:type="dxa"/>
          <w:right w:w="0" w:type="dxa"/>
        </w:tblCellMar>
      </w:tblPr>
      <w:tblGrid>
        <w:gridCol w:w="220"/>
        <w:gridCol w:w="529"/>
        <w:gridCol w:w="655"/>
        <w:gridCol w:w="2395"/>
        <w:gridCol w:w="1257"/>
        <w:gridCol w:w="600"/>
        <w:gridCol w:w="3118"/>
      </w:tblGrid>
      <w:tr>
        <w:tblPrEx>
          <w:tblLayout w:type="fixed"/>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项目名称</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核心自建工程自主可控应用创新项目</w:t>
            </w:r>
          </w:p>
        </w:tc>
      </w:tr>
      <w:tr>
        <w:tblPrEx>
          <w:tblLayout w:type="fixed"/>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项目单位</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梅州客商银行股份有限公司</w:t>
            </w:r>
          </w:p>
        </w:tc>
      </w:tr>
      <w:tr>
        <w:tblPrEx>
          <w:tblLayout w:type="fixed"/>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资金类型</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省级财政专项资金</w:t>
            </w:r>
          </w:p>
        </w:tc>
      </w:tr>
      <w:tr>
        <w:tblPrEx>
          <w:tblLayout w:type="fixed"/>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项目等级</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二级项目</w:t>
            </w:r>
          </w:p>
        </w:tc>
      </w:tr>
      <w:tr>
        <w:tblPrEx>
          <w:tblLayout w:type="fixed"/>
          <w:tblCellMar>
            <w:top w:w="0" w:type="dxa"/>
            <w:left w:w="0" w:type="dxa"/>
            <w:bottom w:w="0" w:type="dxa"/>
            <w:right w:w="0" w:type="dxa"/>
          </w:tblCellMar>
        </w:tblPrEx>
        <w:trPr>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省级主管部门</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广东省工业和信息化厅</w:t>
            </w:r>
          </w:p>
        </w:tc>
        <w:tc>
          <w:tcPr>
            <w:tcW w:w="12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实施单位</w:t>
            </w:r>
          </w:p>
        </w:tc>
        <w:tc>
          <w:tcPr>
            <w:tcW w:w="371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梅州客商银行股份有限公司</w:t>
            </w:r>
          </w:p>
        </w:tc>
      </w:tr>
      <w:tr>
        <w:tblPrEx>
          <w:tblLayout w:type="fixed"/>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预算年度</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sz w:val="24"/>
                <w:highlight w:val="none"/>
              </w:rPr>
              <w:t>2022年</w:t>
            </w:r>
          </w:p>
        </w:tc>
      </w:tr>
      <w:tr>
        <w:tblPrEx>
          <w:tblLayout w:type="fixed"/>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资金需求</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650.63 万元。</w:t>
            </w:r>
          </w:p>
        </w:tc>
      </w:tr>
      <w:tr>
        <w:tblPrEx>
          <w:tblLayout w:type="fixed"/>
          <w:tblCellMar>
            <w:top w:w="0" w:type="dxa"/>
            <w:left w:w="0" w:type="dxa"/>
            <w:bottom w:w="0" w:type="dxa"/>
            <w:right w:w="0" w:type="dxa"/>
          </w:tblCellMar>
        </w:tblPrEx>
        <w:trPr>
          <w:trHeight w:val="80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支出内容</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lang w:val="en-US" w:eastAsia="zh-CN"/>
              </w:rPr>
              <w:t>用于本项目支出的</w:t>
            </w:r>
            <w:r>
              <w:rPr>
                <w:rFonts w:hint="eastAsia" w:ascii="仿宋_GB2312" w:hAnsi="Arial" w:eastAsia="仿宋_GB2312" w:cs="仿宋_GB2312"/>
                <w:color w:val="000000"/>
                <w:kern w:val="0"/>
                <w:sz w:val="24"/>
                <w:highlight w:val="none"/>
              </w:rPr>
              <w:t>硬件购置费</w:t>
            </w:r>
            <w:r>
              <w:rPr>
                <w:rFonts w:hint="eastAsia" w:ascii="仿宋_GB2312" w:hAnsi="Arial" w:eastAsia="仿宋_GB2312" w:cs="仿宋_GB2312"/>
                <w:color w:val="000000"/>
                <w:kern w:val="0"/>
                <w:sz w:val="24"/>
                <w:highlight w:val="none"/>
                <w:lang w:eastAsia="zh-CN"/>
              </w:rPr>
              <w:t>、</w:t>
            </w:r>
            <w:r>
              <w:rPr>
                <w:rFonts w:hint="eastAsia" w:ascii="仿宋_GB2312" w:hAnsi="Arial" w:eastAsia="仿宋_GB2312" w:cs="仿宋_GB2312"/>
                <w:color w:val="000000"/>
                <w:kern w:val="0"/>
                <w:sz w:val="24"/>
                <w:highlight w:val="none"/>
              </w:rPr>
              <w:t>软件购置费</w:t>
            </w:r>
            <w:r>
              <w:rPr>
                <w:rFonts w:hint="eastAsia" w:ascii="仿宋_GB2312" w:hAnsi="Arial" w:eastAsia="仿宋_GB2312" w:cs="仿宋_GB2312"/>
                <w:color w:val="000000"/>
                <w:kern w:val="0"/>
                <w:sz w:val="24"/>
                <w:highlight w:val="none"/>
                <w:lang w:eastAsia="zh-CN"/>
              </w:rPr>
              <w:t>、</w:t>
            </w:r>
            <w:r>
              <w:rPr>
                <w:rFonts w:hint="eastAsia" w:ascii="仿宋_GB2312" w:hAnsi="Arial" w:eastAsia="仿宋_GB2312" w:cs="仿宋_GB2312"/>
                <w:color w:val="000000"/>
                <w:kern w:val="0"/>
                <w:sz w:val="24"/>
                <w:highlight w:val="none"/>
              </w:rPr>
              <w:t>核心研发费</w:t>
            </w:r>
            <w:r>
              <w:rPr>
                <w:rFonts w:hint="eastAsia" w:ascii="仿宋_GB2312" w:hAnsi="Arial" w:eastAsia="仿宋_GB2312" w:cs="仿宋_GB2312"/>
                <w:color w:val="000000"/>
                <w:kern w:val="0"/>
                <w:sz w:val="24"/>
                <w:highlight w:val="none"/>
                <w:lang w:val="en-US" w:eastAsia="zh-CN"/>
              </w:rPr>
              <w:t>等</w:t>
            </w:r>
            <w:r>
              <w:rPr>
                <w:rFonts w:hint="eastAsia" w:ascii="仿宋_GB2312" w:hAnsi="Arial" w:eastAsia="仿宋_GB2312" w:cs="仿宋_GB2312"/>
                <w:color w:val="000000"/>
                <w:kern w:val="0"/>
                <w:sz w:val="24"/>
                <w:highlight w:val="none"/>
              </w:rPr>
              <w:t>。</w:t>
            </w:r>
          </w:p>
        </w:tc>
      </w:tr>
      <w:tr>
        <w:tblPrEx>
          <w:tblLayout w:type="fixed"/>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政策依据</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321"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总体绩效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目标</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1、使用自主可控的服务器、存储设备、网络安全设备、云基础服务、虚拟化套件搭建运行银行信息系统的资源池；</w:t>
            </w:r>
          </w:p>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2、将华为鲲鹏服务器和基于DMDSC共享存储技术的达梦数据库用于银行核心系统；</w:t>
            </w:r>
          </w:p>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3、使用自主可控的开发框架开发银行电子银行应用和数据中台应用；</w:t>
            </w:r>
          </w:p>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4、获得5个软件著作权；</w:t>
            </w:r>
          </w:p>
          <w:p>
            <w:pPr>
              <w:widowControl/>
              <w:jc w:val="left"/>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5、在自主可控产品的应用过程中，总结形成本单位的问题库、解决方案库，为自主可控产品在行业的推广积累经验。</w:t>
            </w:r>
          </w:p>
        </w:tc>
      </w:tr>
      <w:tr>
        <w:tblPrEx>
          <w:tblLayout w:type="fixed"/>
          <w:tblCellMar>
            <w:top w:w="0" w:type="dxa"/>
            <w:left w:w="0" w:type="dxa"/>
            <w:bottom w:w="0" w:type="dxa"/>
            <w:right w:w="0" w:type="dxa"/>
          </w:tblCellMar>
        </w:tblPrEx>
        <w:trPr>
          <w:trHeight w:val="731"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一级指标</w:t>
            </w: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二级指标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三级指标</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指标值</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指标解释说明</w:t>
            </w:r>
          </w:p>
        </w:tc>
      </w:tr>
      <w:tr>
        <w:tblPrEx>
          <w:tblLayout w:type="fixed"/>
          <w:tblCellMar>
            <w:top w:w="0" w:type="dxa"/>
            <w:left w:w="0" w:type="dxa"/>
            <w:bottom w:w="0" w:type="dxa"/>
            <w:right w:w="0" w:type="dxa"/>
          </w:tblCellMar>
        </w:tblPrEx>
        <w:trPr>
          <w:trHeight w:val="90" w:hRule="atLeast"/>
        </w:trPr>
        <w:tc>
          <w:tcPr>
            <w:tcW w:w="220"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0"/>
                <w:szCs w:val="20"/>
                <w:highlight w:val="none"/>
              </w:rPr>
            </w:pPr>
            <w:r>
              <w:rPr>
                <w:rFonts w:hint="eastAsia" w:ascii="仿宋_GB2312" w:hAnsi="Arial" w:eastAsia="仿宋_GB2312" w:cs="仿宋_GB2312"/>
                <w:color w:val="000000"/>
                <w:kern w:val="0"/>
                <w:sz w:val="20"/>
                <w:szCs w:val="20"/>
                <w:highlight w:val="none"/>
              </w:rPr>
              <w:t>绩效指标</w:t>
            </w:r>
          </w:p>
        </w:tc>
        <w:tc>
          <w:tcPr>
            <w:tcW w:w="529"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产出指标</w:t>
            </w: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数量指标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新增服务器（台数）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13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项目新增购买的自主知识产权服务器台数</w:t>
            </w: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新增存储设备（套数）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6</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项目新增购买的自主知识产权存储设备套数</w:t>
            </w: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新增网络安全设备（台）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26</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项目新增购买的自主知识产权网络安全设备台数</w:t>
            </w:r>
          </w:p>
        </w:tc>
      </w:tr>
      <w:tr>
        <w:tblPrEx>
          <w:tblLayout w:type="fixed"/>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新增数据库（套）</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1</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项目新增购买的自主知识产权数据库套数</w:t>
            </w:r>
          </w:p>
        </w:tc>
      </w:tr>
      <w:tr>
        <w:tblPrEx>
          <w:tblLayout w:type="fixed"/>
          <w:tblCellMar>
            <w:top w:w="0" w:type="dxa"/>
            <w:left w:w="0" w:type="dxa"/>
            <w:bottom w:w="0" w:type="dxa"/>
            <w:right w:w="0" w:type="dxa"/>
          </w:tblCellMar>
        </w:tblPrEx>
        <w:trPr>
          <w:trHeight w:val="803"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使用开发框架（个）</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2</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项目使用的自主知识产权开发框架个数</w:t>
            </w:r>
          </w:p>
        </w:tc>
      </w:tr>
      <w:tr>
        <w:tblPrEx>
          <w:tblLayout w:type="fixed"/>
          <w:tblCellMar>
            <w:top w:w="0" w:type="dxa"/>
            <w:left w:w="0" w:type="dxa"/>
            <w:bottom w:w="0" w:type="dxa"/>
            <w:right w:w="0" w:type="dxa"/>
          </w:tblCellMar>
        </w:tblPrEx>
        <w:trPr>
          <w:trHeight w:val="803"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开发应用软件（套）</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项目开发的应用软件套数</w:t>
            </w:r>
          </w:p>
        </w:tc>
      </w:tr>
      <w:tr>
        <w:tblPrEx>
          <w:tblLayout w:type="fixed"/>
          <w:tblCellMar>
            <w:top w:w="0" w:type="dxa"/>
            <w:left w:w="0" w:type="dxa"/>
            <w:bottom w:w="0" w:type="dxa"/>
            <w:right w:w="0" w:type="dxa"/>
          </w:tblCellMar>
        </w:tblPrEx>
        <w:trPr>
          <w:trHeight w:val="90"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质量指标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核心系统</w:t>
            </w:r>
            <w:r>
              <w:rPr>
                <w:rFonts w:ascii="仿宋_GB2312" w:hAnsi="Arial" w:eastAsia="仿宋_GB2312" w:cs="仿宋_GB2312"/>
                <w:color w:val="000000"/>
                <w:kern w:val="0"/>
                <w:sz w:val="24"/>
                <w:highlight w:val="none"/>
              </w:rPr>
              <w:t>交易吞吐量</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大于</w:t>
            </w:r>
            <w:r>
              <w:rPr>
                <w:rFonts w:ascii="仿宋_GB2312" w:hAnsi="Arial" w:eastAsia="仿宋_GB2312" w:cs="仿宋_GB2312"/>
                <w:color w:val="000000"/>
                <w:kern w:val="0"/>
                <w:sz w:val="24"/>
                <w:highlight w:val="none"/>
              </w:rPr>
              <w:t>每秒1000笔</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项目开发的核心系统软件非功能测试在混合场景下的交易吞吐量</w:t>
            </w:r>
          </w:p>
        </w:tc>
      </w:tr>
      <w:tr>
        <w:tblPrEx>
          <w:tblLayout w:type="fixed"/>
          <w:tblCellMar>
            <w:top w:w="0" w:type="dxa"/>
            <w:left w:w="0" w:type="dxa"/>
            <w:bottom w:w="0" w:type="dxa"/>
            <w:right w:w="0" w:type="dxa"/>
          </w:tblCellMar>
        </w:tblPrEx>
        <w:trPr>
          <w:trHeight w:val="822"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核心</w:t>
            </w:r>
            <w:r>
              <w:rPr>
                <w:rFonts w:ascii="仿宋_GB2312" w:hAnsi="Arial" w:eastAsia="仿宋_GB2312" w:cs="仿宋_GB2312"/>
                <w:color w:val="000000"/>
                <w:kern w:val="0"/>
                <w:sz w:val="24"/>
                <w:highlight w:val="none"/>
              </w:rPr>
              <w:t>系统可用性</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大于</w:t>
            </w:r>
            <w:r>
              <w:rPr>
                <w:rFonts w:ascii="仿宋_GB2312" w:hAnsi="Arial" w:eastAsia="仿宋_GB2312" w:cs="仿宋_GB2312"/>
                <w:color w:val="000000"/>
                <w:kern w:val="0"/>
                <w:sz w:val="24"/>
                <w:highlight w:val="none"/>
              </w:rPr>
              <w:t>99.99%</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项目开发的核心系统在试运行阶段的可用性，计算公式为（1-停机时间/服务时间）*100%</w:t>
            </w:r>
          </w:p>
        </w:tc>
      </w:tr>
      <w:tr>
        <w:tblPrEx>
          <w:tblLayout w:type="fixed"/>
          <w:tblCellMar>
            <w:top w:w="0" w:type="dxa"/>
            <w:left w:w="0" w:type="dxa"/>
            <w:bottom w:w="0" w:type="dxa"/>
            <w:right w:w="0" w:type="dxa"/>
          </w:tblCellMar>
        </w:tblPrEx>
        <w:trPr>
          <w:trHeight w:val="665"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时效指标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项目时效期</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1年</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项目建设的最长周期</w:t>
            </w:r>
          </w:p>
        </w:tc>
      </w:tr>
      <w:tr>
        <w:tblPrEx>
          <w:tblLayout w:type="fixed"/>
          <w:tblCellMar>
            <w:top w:w="0" w:type="dxa"/>
            <w:left w:w="0" w:type="dxa"/>
            <w:bottom w:w="0" w:type="dxa"/>
            <w:right w:w="0" w:type="dxa"/>
          </w:tblCellMar>
        </w:tblPrEx>
        <w:trPr>
          <w:trHeight w:val="762" w:hRule="atLeast"/>
        </w:trPr>
        <w:tc>
          <w:tcPr>
            <w:tcW w:w="220"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restart"/>
            <w:tcBorders>
              <w:top w:val="nil"/>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效</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标</w:t>
            </w:r>
          </w:p>
        </w:tc>
        <w:tc>
          <w:tcPr>
            <w:tcW w:w="655" w:type="dxa"/>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经济效益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本项目为我行自建的信息系统，无法评估直接的经济收益，但基于此信息系统，将为我行的业务发展及数字化转型带来巨大的经济收益</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本项目产出的经济效益</w:t>
            </w:r>
          </w:p>
        </w:tc>
      </w:tr>
      <w:tr>
        <w:tblPrEx>
          <w:tblLayout w:type="fixed"/>
          <w:tblCellMar>
            <w:top w:w="0" w:type="dxa"/>
            <w:left w:w="0" w:type="dxa"/>
            <w:bottom w:w="0" w:type="dxa"/>
            <w:right w:w="0" w:type="dxa"/>
          </w:tblCellMar>
        </w:tblPrEx>
        <w:trPr>
          <w:trHeight w:val="1013"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sz w:val="24"/>
                <w:highlight w:val="none"/>
              </w:rPr>
            </w:pPr>
            <w:r>
              <w:rPr>
                <w:rFonts w:hint="eastAsia" w:ascii="仿宋_GB2312" w:hAnsi="Arial" w:eastAsia="仿宋_GB2312" w:cs="仿宋_GB2312"/>
                <w:color w:val="000000"/>
                <w:kern w:val="0"/>
                <w:sz w:val="24"/>
                <w:highlight w:val="none"/>
              </w:rPr>
              <w:t>社会效益</w:t>
            </w:r>
            <w:r>
              <w:rPr>
                <w:rFonts w:hint="eastAsia" w:ascii="仿宋_GB2312" w:hAnsi="Arial" w:eastAsia="仿宋_GB2312" w:cs="仿宋_GB2312"/>
                <w:color w:val="000000"/>
                <w:kern w:val="0"/>
                <w:sz w:val="24"/>
                <w:highlight w:val="none"/>
              </w:rPr>
              <w:br w:type="textWrapping"/>
            </w:r>
            <w:r>
              <w:rPr>
                <w:rFonts w:hint="eastAsia" w:ascii="仿宋_GB2312" w:hAnsi="Arial" w:eastAsia="仿宋_GB2312" w:cs="仿宋_GB2312"/>
                <w:color w:val="000000"/>
                <w:kern w:val="0"/>
                <w:sz w:val="24"/>
                <w:highlight w:val="none"/>
              </w:rPr>
              <w:t>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本项目验证自主可控的服务器、存储设备、网络安全设备、数据库软件、开发框架在银行核心系统、电子银行系统、数据中台系统的可行性，开发可复制推广的应用系统，带动自主可控产业链上下游的发展；</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本项目产出的社会效益</w:t>
            </w:r>
          </w:p>
        </w:tc>
      </w:tr>
      <w:tr>
        <w:tblPrEx>
          <w:tblLayout w:type="fixed"/>
          <w:tblCellMar>
            <w:top w:w="0" w:type="dxa"/>
            <w:left w:w="0" w:type="dxa"/>
            <w:bottom w:w="0" w:type="dxa"/>
            <w:right w:w="0" w:type="dxa"/>
          </w:tblCellMar>
        </w:tblPrEx>
        <w:trPr>
          <w:trHeight w:val="1013"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ascii="仿宋_GB2312" w:hAnsi="Arial" w:eastAsia="仿宋_GB2312" w:cs="仿宋_GB2312"/>
                <w:color w:val="000000"/>
                <w:kern w:val="0"/>
                <w:sz w:val="24"/>
                <w:highlight w:val="none"/>
              </w:rPr>
              <w:t>将华为鲲鹏服务器和基</w:t>
            </w:r>
            <w:r>
              <w:rPr>
                <w:rFonts w:hint="eastAsia" w:ascii="仿宋_GB2312" w:hAnsi="Arial" w:eastAsia="仿宋_GB2312" w:cs="仿宋_GB2312"/>
                <w:color w:val="000000"/>
                <w:kern w:val="0"/>
                <w:sz w:val="24"/>
                <w:highlight w:val="none"/>
              </w:rPr>
              <w:t>于</w:t>
            </w:r>
            <w:r>
              <w:rPr>
                <w:rFonts w:ascii="仿宋_GB2312" w:hAnsi="Arial" w:eastAsia="仿宋_GB2312" w:cs="仿宋_GB2312"/>
                <w:color w:val="000000"/>
                <w:kern w:val="0"/>
                <w:sz w:val="24"/>
                <w:highlight w:val="none"/>
              </w:rPr>
              <w:t>DMDSC共享存储技术的达梦数据库用于银行核心系统</w:t>
            </w:r>
            <w:r>
              <w:rPr>
                <w:rFonts w:hint="eastAsia" w:ascii="仿宋_GB2312" w:hAnsi="Arial" w:eastAsia="仿宋_GB2312" w:cs="仿宋_GB2312"/>
                <w:color w:val="000000"/>
                <w:kern w:val="0"/>
                <w:sz w:val="24"/>
                <w:highlight w:val="none"/>
              </w:rPr>
              <w:t>，基于阿里云的移动开发平台和大数据平台开发电子银行和数据中台应用，打造银行业数字化转型的应用示范标杆。</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本项目产出的社会效益</w:t>
            </w:r>
          </w:p>
        </w:tc>
      </w:tr>
      <w:tr>
        <w:tblPrEx>
          <w:tblLayout w:type="fixed"/>
          <w:tblCellMar>
            <w:top w:w="0" w:type="dxa"/>
            <w:left w:w="0" w:type="dxa"/>
            <w:bottom w:w="0" w:type="dxa"/>
            <w:right w:w="0" w:type="dxa"/>
          </w:tblCellMar>
        </w:tblPrEx>
        <w:trPr>
          <w:trHeight w:val="110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生态效益指标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92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服务对象</w:t>
            </w:r>
          </w:p>
          <w:p>
            <w:pPr>
              <w:widowControl/>
              <w:jc w:val="center"/>
              <w:textAlignment w:val="center"/>
              <w:rPr>
                <w:rFonts w:ascii="仿宋_GB2312" w:hAnsi="Arial" w:eastAsia="仿宋_GB2312" w:cs="仿宋_GB2312"/>
                <w:color w:val="000000"/>
                <w:kern w:val="0"/>
                <w:sz w:val="24"/>
                <w:highlight w:val="none"/>
              </w:rPr>
            </w:pPr>
            <w:r>
              <w:rPr>
                <w:rFonts w:hint="eastAsia" w:ascii="Times New Roman" w:hAnsi="Times New Roman" w:eastAsia="仿宋_GB2312" w:cs="Times New Roman"/>
                <w:sz w:val="24"/>
                <w:highlight w:val="none"/>
              </w:rPr>
              <w:t>满意度指标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9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p>
        </w:tc>
      </w:tr>
      <w:tr>
        <w:tblPrEx>
          <w:tblLayout w:type="fixed"/>
          <w:tblCellMar>
            <w:top w:w="0" w:type="dxa"/>
            <w:left w:w="0" w:type="dxa"/>
            <w:bottom w:w="0" w:type="dxa"/>
            <w:right w:w="0" w:type="dxa"/>
          </w:tblCellMar>
        </w:tblPrEx>
        <w:trPr>
          <w:trHeight w:val="127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ascii="Times New Roman" w:hAnsi="Times New Roman" w:eastAsia="仿宋_GB2312" w:cs="Times New Roman"/>
                <w:sz w:val="24"/>
                <w:highlight w:val="none"/>
              </w:rPr>
              <w:t>可持续影响指标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总结形成的本单位问题库</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本项目总结形成的问题库</w:t>
            </w:r>
          </w:p>
        </w:tc>
      </w:tr>
      <w:tr>
        <w:tblPrEx>
          <w:tblLayout w:type="fixed"/>
          <w:tblCellMar>
            <w:top w:w="0" w:type="dxa"/>
            <w:left w:w="0" w:type="dxa"/>
            <w:bottom w:w="0" w:type="dxa"/>
            <w:right w:w="0" w:type="dxa"/>
          </w:tblCellMar>
        </w:tblPrEx>
        <w:trPr>
          <w:trHeight w:val="1270"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0"/>
                <w:szCs w:val="20"/>
                <w:highlight w:val="none"/>
              </w:rPr>
            </w:pPr>
          </w:p>
        </w:tc>
        <w:tc>
          <w:tcPr>
            <w:tcW w:w="52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Arial"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总结形成的本单位解决方案库</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Arial" w:eastAsia="仿宋_GB2312" w:cs="仿宋_GB2312"/>
                <w:color w:val="000000"/>
                <w:kern w:val="0"/>
                <w:sz w:val="24"/>
                <w:highlight w:val="none"/>
              </w:rPr>
            </w:pPr>
            <w:r>
              <w:rPr>
                <w:rFonts w:hint="eastAsia" w:ascii="仿宋_GB2312" w:hAnsi="Arial" w:eastAsia="仿宋_GB2312" w:cs="仿宋_GB2312"/>
                <w:color w:val="000000"/>
                <w:kern w:val="0"/>
                <w:sz w:val="24"/>
                <w:highlight w:val="none"/>
              </w:rPr>
              <w:t>本项目总结形成的解决方案库</w:t>
            </w:r>
          </w:p>
        </w:tc>
      </w:tr>
    </w:tbl>
    <w:p>
      <w:pPr>
        <w:rPr>
          <w:highlight w:val="none"/>
        </w:rPr>
      </w:pPr>
    </w:p>
    <w:p>
      <w:pPr>
        <w:rPr>
          <w:rFonts w:hint="eastAsia"/>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东文宋体">
    <w:altName w:val="宋体"/>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简体">
    <w:altName w:val="微软雅黑"/>
    <w:panose1 w:val="00000000000000000000"/>
    <w:charset w:val="00"/>
    <w:family w:val="script"/>
    <w:pitch w:val="default"/>
    <w:sig w:usb0="00000000" w:usb1="00000000" w:usb2="0000001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旗黑KW 55S">
    <w:altName w:val="黑体"/>
    <w:panose1 w:val="00020600040101010101"/>
    <w:charset w:val="86"/>
    <w:family w:val="auto"/>
    <w:pitch w:val="default"/>
    <w:sig w:usb0="00000000" w:usb1="00000000" w:usb2="00000016"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1543C"/>
    <w:multiLevelType w:val="multilevel"/>
    <w:tmpl w:val="4B41543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4"/>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C35D87B"/>
    <w:multiLevelType w:val="singleLevel"/>
    <w:tmpl w:val="6C35D87B"/>
    <w:lvl w:ilvl="0" w:tentative="0">
      <w:start w:val="1"/>
      <w:numFmt w:val="chineseCounting"/>
      <w:suff w:val="nothing"/>
      <w:lvlText w:val="%1、"/>
      <w:lvlJc w:val="left"/>
      <w:rPr>
        <w:rFonts w:hint="eastAsia"/>
      </w:rPr>
    </w:lvl>
  </w:abstractNum>
  <w:abstractNum w:abstractNumId="2">
    <w:nsid w:val="72433EF5"/>
    <w:multiLevelType w:val="multilevel"/>
    <w:tmpl w:val="72433EF5"/>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lvlText w:val="%3、"/>
      <w:lvlJc w:val="left"/>
      <w:pPr>
        <w:ind w:left="26" w:firstLine="400"/>
      </w:pPr>
      <w:rPr>
        <w:rFonts w:hint="eastAsia"/>
      </w:rPr>
    </w:lvl>
    <w:lvl w:ilvl="3" w:tentative="0">
      <w:start w:val="1"/>
      <w:numFmt w:val="decimal"/>
      <w:suff w:val="nothing"/>
      <w:lvlText w:val="（%4）"/>
      <w:lvlJc w:val="left"/>
      <w:pPr>
        <w:ind w:left="3710" w:firstLine="402"/>
      </w:pPr>
      <w:rPr>
        <w:rFonts w:hint="eastAsia"/>
      </w:rPr>
    </w:lvl>
    <w:lvl w:ilvl="4" w:tentative="0">
      <w:start w:val="1"/>
      <w:numFmt w:val="decimal"/>
      <w:lvlText w:val="%5)"/>
      <w:lvlJc w:val="left"/>
      <w:pPr>
        <w:ind w:left="0" w:firstLine="402"/>
      </w:pPr>
      <w:rPr>
        <w:rFonts w:hint="eastAsia"/>
      </w:rPr>
    </w:lvl>
    <w:lvl w:ilvl="5" w:tentative="0">
      <w:start w:val="1"/>
      <w:numFmt w:val="lowerRoman"/>
      <w:lvlText w:val="%6."/>
      <w:lvlJc w:val="righ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DD"/>
    <w:rsid w:val="00031E0F"/>
    <w:rsid w:val="00095843"/>
    <w:rsid w:val="000A15AA"/>
    <w:rsid w:val="001067E6"/>
    <w:rsid w:val="00151744"/>
    <w:rsid w:val="001522BB"/>
    <w:rsid w:val="00183282"/>
    <w:rsid w:val="001903B3"/>
    <w:rsid w:val="001A05C8"/>
    <w:rsid w:val="001A0D1A"/>
    <w:rsid w:val="001B3CDD"/>
    <w:rsid w:val="002032D9"/>
    <w:rsid w:val="00213643"/>
    <w:rsid w:val="00247518"/>
    <w:rsid w:val="0026679E"/>
    <w:rsid w:val="002715E9"/>
    <w:rsid w:val="002B0156"/>
    <w:rsid w:val="002C3451"/>
    <w:rsid w:val="002F4ADE"/>
    <w:rsid w:val="00324065"/>
    <w:rsid w:val="003827AE"/>
    <w:rsid w:val="003A7A37"/>
    <w:rsid w:val="003B6F08"/>
    <w:rsid w:val="003C0528"/>
    <w:rsid w:val="00441B0E"/>
    <w:rsid w:val="00442F30"/>
    <w:rsid w:val="00483746"/>
    <w:rsid w:val="004965E1"/>
    <w:rsid w:val="004A0287"/>
    <w:rsid w:val="004A51E0"/>
    <w:rsid w:val="004C29F5"/>
    <w:rsid w:val="004D0D45"/>
    <w:rsid w:val="00517850"/>
    <w:rsid w:val="005373D3"/>
    <w:rsid w:val="0054364D"/>
    <w:rsid w:val="00567A0B"/>
    <w:rsid w:val="005810AA"/>
    <w:rsid w:val="006207E9"/>
    <w:rsid w:val="006241F1"/>
    <w:rsid w:val="006617DD"/>
    <w:rsid w:val="006C5297"/>
    <w:rsid w:val="006C7F53"/>
    <w:rsid w:val="006D77E6"/>
    <w:rsid w:val="00744A01"/>
    <w:rsid w:val="00753949"/>
    <w:rsid w:val="00791AC6"/>
    <w:rsid w:val="007A6238"/>
    <w:rsid w:val="007B274D"/>
    <w:rsid w:val="007C4AEA"/>
    <w:rsid w:val="007D0DB7"/>
    <w:rsid w:val="007F15A6"/>
    <w:rsid w:val="00815C0B"/>
    <w:rsid w:val="00861D9A"/>
    <w:rsid w:val="00890D8D"/>
    <w:rsid w:val="008E657E"/>
    <w:rsid w:val="00903B13"/>
    <w:rsid w:val="00940598"/>
    <w:rsid w:val="009441F4"/>
    <w:rsid w:val="009603B5"/>
    <w:rsid w:val="00966C49"/>
    <w:rsid w:val="00981700"/>
    <w:rsid w:val="00A11C79"/>
    <w:rsid w:val="00A32055"/>
    <w:rsid w:val="00A35300"/>
    <w:rsid w:val="00A53CC5"/>
    <w:rsid w:val="00A5667B"/>
    <w:rsid w:val="00AA34F2"/>
    <w:rsid w:val="00AD6B9E"/>
    <w:rsid w:val="00AF135F"/>
    <w:rsid w:val="00B54E89"/>
    <w:rsid w:val="00B7085E"/>
    <w:rsid w:val="00BA42B1"/>
    <w:rsid w:val="00BB21A9"/>
    <w:rsid w:val="00BC02B3"/>
    <w:rsid w:val="00BF29C8"/>
    <w:rsid w:val="00C06DFF"/>
    <w:rsid w:val="00C2299A"/>
    <w:rsid w:val="00C32C92"/>
    <w:rsid w:val="00C5728A"/>
    <w:rsid w:val="00C94F14"/>
    <w:rsid w:val="00CC51B4"/>
    <w:rsid w:val="00CD55A8"/>
    <w:rsid w:val="00DE759E"/>
    <w:rsid w:val="00DF34D3"/>
    <w:rsid w:val="00DF4671"/>
    <w:rsid w:val="00E31D20"/>
    <w:rsid w:val="00E52217"/>
    <w:rsid w:val="00E77862"/>
    <w:rsid w:val="00E9769A"/>
    <w:rsid w:val="00EC5EB2"/>
    <w:rsid w:val="00F22A71"/>
    <w:rsid w:val="00F271C1"/>
    <w:rsid w:val="00F30298"/>
    <w:rsid w:val="00FA4977"/>
    <w:rsid w:val="00FB1154"/>
    <w:rsid w:val="00FC1403"/>
    <w:rsid w:val="00FC2D31"/>
    <w:rsid w:val="00FC747E"/>
    <w:rsid w:val="00FD7888"/>
    <w:rsid w:val="02A83A06"/>
    <w:rsid w:val="031255AB"/>
    <w:rsid w:val="03A66E01"/>
    <w:rsid w:val="0551112D"/>
    <w:rsid w:val="060558DB"/>
    <w:rsid w:val="079F7BDE"/>
    <w:rsid w:val="07A92326"/>
    <w:rsid w:val="0809096A"/>
    <w:rsid w:val="081F3651"/>
    <w:rsid w:val="0A920659"/>
    <w:rsid w:val="0B492E0E"/>
    <w:rsid w:val="0BB22337"/>
    <w:rsid w:val="0CA221A8"/>
    <w:rsid w:val="0CA55071"/>
    <w:rsid w:val="0D4E7AB2"/>
    <w:rsid w:val="0EEA380B"/>
    <w:rsid w:val="0F124D54"/>
    <w:rsid w:val="103B537A"/>
    <w:rsid w:val="10EB582C"/>
    <w:rsid w:val="16140985"/>
    <w:rsid w:val="16FF72FF"/>
    <w:rsid w:val="17171622"/>
    <w:rsid w:val="179716EC"/>
    <w:rsid w:val="17DA54A2"/>
    <w:rsid w:val="1830708C"/>
    <w:rsid w:val="192A1372"/>
    <w:rsid w:val="1A406AFF"/>
    <w:rsid w:val="1C210D48"/>
    <w:rsid w:val="1CD75D70"/>
    <w:rsid w:val="1E741921"/>
    <w:rsid w:val="1F937B96"/>
    <w:rsid w:val="20413B81"/>
    <w:rsid w:val="2153049F"/>
    <w:rsid w:val="21630A89"/>
    <w:rsid w:val="217445F8"/>
    <w:rsid w:val="22D77122"/>
    <w:rsid w:val="244A11C5"/>
    <w:rsid w:val="246B1283"/>
    <w:rsid w:val="25262DA2"/>
    <w:rsid w:val="25617CCE"/>
    <w:rsid w:val="26662AD1"/>
    <w:rsid w:val="27190E46"/>
    <w:rsid w:val="28161995"/>
    <w:rsid w:val="283A39D0"/>
    <w:rsid w:val="28A41A34"/>
    <w:rsid w:val="29371DE1"/>
    <w:rsid w:val="2AB00102"/>
    <w:rsid w:val="2B694B63"/>
    <w:rsid w:val="2C294681"/>
    <w:rsid w:val="2DAE67EB"/>
    <w:rsid w:val="2DDD4DCF"/>
    <w:rsid w:val="2E976E07"/>
    <w:rsid w:val="2F0A468E"/>
    <w:rsid w:val="2FF54645"/>
    <w:rsid w:val="31D81BFF"/>
    <w:rsid w:val="32AE6407"/>
    <w:rsid w:val="335038E3"/>
    <w:rsid w:val="33DA3237"/>
    <w:rsid w:val="34853754"/>
    <w:rsid w:val="34AE6AD7"/>
    <w:rsid w:val="35902AA4"/>
    <w:rsid w:val="36D2604D"/>
    <w:rsid w:val="372B703B"/>
    <w:rsid w:val="37306536"/>
    <w:rsid w:val="37360349"/>
    <w:rsid w:val="37417FF5"/>
    <w:rsid w:val="38F420D7"/>
    <w:rsid w:val="3B3825E3"/>
    <w:rsid w:val="3B63622C"/>
    <w:rsid w:val="3B776419"/>
    <w:rsid w:val="3D243138"/>
    <w:rsid w:val="3D735747"/>
    <w:rsid w:val="3E74337B"/>
    <w:rsid w:val="3E815172"/>
    <w:rsid w:val="3F331135"/>
    <w:rsid w:val="423F0C15"/>
    <w:rsid w:val="427F0577"/>
    <w:rsid w:val="43D83A1D"/>
    <w:rsid w:val="43DA5CE4"/>
    <w:rsid w:val="44184D22"/>
    <w:rsid w:val="44EB2E6D"/>
    <w:rsid w:val="452F5238"/>
    <w:rsid w:val="47466101"/>
    <w:rsid w:val="478F10E2"/>
    <w:rsid w:val="489A3D62"/>
    <w:rsid w:val="48FC30BF"/>
    <w:rsid w:val="493A5602"/>
    <w:rsid w:val="494B138D"/>
    <w:rsid w:val="49633157"/>
    <w:rsid w:val="49FC5AD2"/>
    <w:rsid w:val="4A29422E"/>
    <w:rsid w:val="4BFF49E5"/>
    <w:rsid w:val="4C2D42DC"/>
    <w:rsid w:val="4D0A085B"/>
    <w:rsid w:val="4D7E36DE"/>
    <w:rsid w:val="4EFF7BF0"/>
    <w:rsid w:val="4FBB5F83"/>
    <w:rsid w:val="510220D5"/>
    <w:rsid w:val="510C1FCE"/>
    <w:rsid w:val="514C6FD1"/>
    <w:rsid w:val="52081ECE"/>
    <w:rsid w:val="52CC694B"/>
    <w:rsid w:val="52F64A52"/>
    <w:rsid w:val="53407B2B"/>
    <w:rsid w:val="554A0F16"/>
    <w:rsid w:val="5ACD2113"/>
    <w:rsid w:val="5AE355BD"/>
    <w:rsid w:val="5FBA0853"/>
    <w:rsid w:val="603D4C7C"/>
    <w:rsid w:val="60C83DA4"/>
    <w:rsid w:val="61082CC1"/>
    <w:rsid w:val="622764AF"/>
    <w:rsid w:val="62DC6264"/>
    <w:rsid w:val="63804882"/>
    <w:rsid w:val="63F37EA4"/>
    <w:rsid w:val="64F67A3E"/>
    <w:rsid w:val="653A6E3E"/>
    <w:rsid w:val="65785A64"/>
    <w:rsid w:val="67EB15A2"/>
    <w:rsid w:val="683A0E23"/>
    <w:rsid w:val="69541C46"/>
    <w:rsid w:val="699C5695"/>
    <w:rsid w:val="69BD46BC"/>
    <w:rsid w:val="69E1169B"/>
    <w:rsid w:val="69F36458"/>
    <w:rsid w:val="6AC03867"/>
    <w:rsid w:val="6E301F85"/>
    <w:rsid w:val="6FC51999"/>
    <w:rsid w:val="6FEC52F0"/>
    <w:rsid w:val="70665712"/>
    <w:rsid w:val="708A011F"/>
    <w:rsid w:val="70AB44BE"/>
    <w:rsid w:val="71A34762"/>
    <w:rsid w:val="71B02627"/>
    <w:rsid w:val="734544A0"/>
    <w:rsid w:val="742F3A44"/>
    <w:rsid w:val="74897B52"/>
    <w:rsid w:val="75E61761"/>
    <w:rsid w:val="76446221"/>
    <w:rsid w:val="771E6B39"/>
    <w:rsid w:val="789762BA"/>
    <w:rsid w:val="78D96A05"/>
    <w:rsid w:val="793D13C5"/>
    <w:rsid w:val="79637FAB"/>
    <w:rsid w:val="7AAD7A18"/>
    <w:rsid w:val="7AF348D8"/>
    <w:rsid w:val="7B4E5479"/>
    <w:rsid w:val="7C371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jc w:val="center"/>
      <w:outlineLvl w:val="0"/>
    </w:pPr>
    <w:rPr>
      <w:rFonts w:ascii="黑体" w:hAnsi="黑体" w:eastAsia="仿宋"/>
      <w:b/>
      <w:bCs/>
      <w:kern w:val="44"/>
      <w:sz w:val="32"/>
      <w:szCs w:val="48"/>
    </w:rPr>
  </w:style>
  <w:style w:type="paragraph" w:styleId="3">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paragraph" w:styleId="4">
    <w:name w:val="heading 6"/>
    <w:basedOn w:val="1"/>
    <w:next w:val="1"/>
    <w:unhideWhenUsed/>
    <w:qFormat/>
    <w:uiPriority w:val="9"/>
    <w:pPr>
      <w:keepNext/>
      <w:keepLines/>
      <w:numPr>
        <w:ilvl w:val="5"/>
        <w:numId w:val="2"/>
      </w:numPr>
      <w:spacing w:before="240" w:after="64" w:line="317" w:lineRule="auto"/>
      <w:outlineLvl w:val="5"/>
    </w:pPr>
    <w:rPr>
      <w:rFonts w:ascii="Arial" w:hAnsi="Arial" w:eastAsia="黑体"/>
      <w:b/>
      <w:bCs/>
      <w:sz w:val="2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1812</Words>
  <Characters>10333</Characters>
  <Lines>86</Lines>
  <Paragraphs>24</Paragraphs>
  <TotalTime>14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2020-11-25T05:41:00Z</dcterms:created>
  <dc:creator>Administrator</dc:creator>
  <cp:lastModifiedBy>陈丽娟</cp:lastModifiedBy>
  <dcterms:modified xsi:type="dcterms:W3CDTF">2021-12-20T09:01:16Z</dcterms:modified>
  <dc:title>数字产业处负责资金省本级项目绩效目标表（11家企业）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