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  <w:t>2022年省级打好污染防治攻坚战专项资金（绿色循环发展与节能降耗）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  <w:t>各市使用安排额度表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（第一批）</w:t>
      </w:r>
    </w:p>
    <w:p>
      <w:pPr>
        <w:wordWrap w:val="0"/>
        <w:jc w:val="right"/>
        <w:rPr>
          <w:rFonts w:hint="eastAsia" w:ascii="仿宋_GB2312" w:eastAsia="仿宋_GB2312" w:cs="仿宋_GB2312"/>
          <w:kern w:val="0"/>
          <w:szCs w:val="21"/>
          <w:lang w:bidi="ar-SA"/>
        </w:rPr>
      </w:pPr>
      <w:r>
        <w:rPr>
          <w:rFonts w:hint="eastAsia" w:ascii="仿宋_GB2312" w:eastAsia="仿宋_GB2312" w:cs="仿宋_GB2312"/>
          <w:kern w:val="0"/>
          <w:szCs w:val="21"/>
          <w:lang w:bidi="ar-SA"/>
        </w:rPr>
        <w:t xml:space="preserve">资金单位：万元  </w:t>
      </w:r>
    </w:p>
    <w:tbl>
      <w:tblPr>
        <w:tblStyle w:val="14"/>
        <w:tblW w:w="825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737"/>
        <w:gridCol w:w="925"/>
        <w:gridCol w:w="994"/>
        <w:gridCol w:w="981"/>
        <w:gridCol w:w="938"/>
        <w:gridCol w:w="937"/>
        <w:gridCol w:w="976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地区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工业固体废物资源化利用项目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粤港清洁生产伙伴项目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eastAsia="zh-CN"/>
              </w:rPr>
              <w:t>工作经费额度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7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支持项目个数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资金额度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支持项目个数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其中优越伙伴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eastAsia="zh-CN"/>
              </w:rPr>
              <w:t>个数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资金额度</w:t>
            </w:r>
          </w:p>
        </w:tc>
        <w:tc>
          <w:tcPr>
            <w:tcW w:w="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广州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深圳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珠海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汕头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佛山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433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韶关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河源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梅州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523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惠州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汕尾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东莞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中山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江门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1500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阳江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湛江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茂名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肇庆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清远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潮州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揭阳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云浮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  <w:t>合计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2956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3480</w:t>
            </w:r>
          </w:p>
        </w:tc>
      </w:tr>
    </w:tbl>
    <w:p>
      <w:pPr>
        <w:spacing w:line="560" w:lineRule="exact"/>
        <w:rPr>
          <w:rFonts w:hint="eastAsia" w:eastAsia="仿宋_GB2312"/>
          <w:kern w:val="0"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  <w:t>2022年省级打好污染防治攻坚战专项资金（绿色循环发展与节能降耗）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  <w:t>省级项使用安排额度表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（第一批）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right="0" w:firstLine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资金单位：万元  </w:t>
      </w:r>
    </w:p>
    <w:tbl>
      <w:tblPr>
        <w:tblStyle w:val="14"/>
        <w:tblW w:w="91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1331"/>
        <w:gridCol w:w="1255"/>
        <w:gridCol w:w="4619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序号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拟安排资金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重点耗能行业能效对标项目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68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广东省工业和信息化厅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通过政府采购，遴选多个第三方机构承担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8个重点耗能行业开展能效对标，其中部分行业在能效对标行动同时，同步开展水效对标行动。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CFE3C9F"/>
    <w:rsid w:val="3DB011B5"/>
    <w:rsid w:val="568F6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6">
    <w:name w:val="toc 5"/>
    <w:basedOn w:val="1"/>
    <w:next w:val="1"/>
    <w:qFormat/>
    <w:uiPriority w:val="0"/>
    <w:pPr>
      <w:ind w:left="1680"/>
    </w:pPr>
  </w:style>
  <w:style w:type="paragraph" w:styleId="7">
    <w:name w:val="toc 3"/>
    <w:basedOn w:val="1"/>
    <w:next w:val="1"/>
    <w:qFormat/>
    <w:uiPriority w:val="0"/>
    <w:pPr>
      <w:ind w:left="84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bidi="ar-SA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toc 1"/>
    <w:basedOn w:val="1"/>
    <w:next w:val="1"/>
    <w:uiPriority w:val="0"/>
  </w:style>
  <w:style w:type="paragraph" w:styleId="11">
    <w:name w:val="toc 4"/>
    <w:basedOn w:val="1"/>
    <w:next w:val="1"/>
    <w:uiPriority w:val="0"/>
    <w:pPr>
      <w:ind w:left="1260"/>
    </w:pPr>
  </w:style>
  <w:style w:type="paragraph" w:styleId="12">
    <w:name w:val="toc 2"/>
    <w:basedOn w:val="1"/>
    <w:next w:val="1"/>
    <w:qFormat/>
    <w:uiPriority w:val="0"/>
    <w:pPr>
      <w:ind w:left="420"/>
    </w:p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2</Pages>
  <Words>402</Words>
  <Characters>477</Characters>
  <Lines>239</Lines>
  <Paragraphs>141</Paragraphs>
  <TotalTime>1</TotalTime>
  <ScaleCrop>false</ScaleCrop>
  <LinksUpToDate>false</LinksUpToDate>
  <CharactersWithSpaces>485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2019-09-04T11:40:00Z</dcterms:created>
  <dc:creator>王宁涛</dc:creator>
  <cp:lastModifiedBy>陈仨珂</cp:lastModifiedBy>
  <cp:lastPrinted>2020-01-17T00:34:00Z</cp:lastPrinted>
  <dcterms:modified xsi:type="dcterms:W3CDTF">2022-02-10T09:20:40Z</dcterms:modified>
  <dc:title>2019年技术改造资金落实情况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