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18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6</w:t>
      </w:r>
    </w:p>
    <w:p>
      <w:pPr>
        <w:spacing w:before="180" w:line="216" w:lineRule="auto"/>
        <w:ind w:left="147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8"/>
          <w:sz w:val="35"/>
          <w:szCs w:val="35"/>
        </w:rPr>
        <w:t>专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>精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特新“小巨人”企业认定标准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357" w:lineRule="auto"/>
        <w:ind w:left="31" w:right="6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专精特新</w:t>
      </w:r>
      <w:r>
        <w:rPr>
          <w:rFonts w:ascii="仿宋" w:hAnsi="仿宋" w:eastAsia="仿宋" w:cs="仿宋"/>
          <w:sz w:val="31"/>
          <w:szCs w:val="31"/>
        </w:rPr>
        <w:t xml:space="preserve">“小巨人”企业认定需同时满足专、精、特、 </w:t>
      </w:r>
      <w:r>
        <w:rPr>
          <w:rFonts w:ascii="仿宋" w:hAnsi="仿宋" w:eastAsia="仿宋" w:cs="仿宋"/>
          <w:spacing w:val="-5"/>
          <w:sz w:val="31"/>
          <w:szCs w:val="31"/>
        </w:rPr>
        <w:t>新、链、品六个方面指标。</w:t>
      </w:r>
    </w:p>
    <w:p>
      <w:pPr>
        <w:spacing w:line="513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一、专业化指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标</w:t>
      </w:r>
    </w:p>
    <w:p>
      <w:pPr>
        <w:spacing w:before="86" w:line="346" w:lineRule="auto"/>
        <w:ind w:left="36" w:right="1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坚</w:t>
      </w:r>
      <w:r>
        <w:rPr>
          <w:rFonts w:ascii="仿宋" w:hAnsi="仿宋" w:eastAsia="仿宋" w:cs="仿宋"/>
          <w:spacing w:val="8"/>
          <w:sz w:val="31"/>
          <w:szCs w:val="31"/>
        </w:rPr>
        <w:t>持专业化发展道路，长期专注并深耕于产业链某一环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节</w:t>
      </w:r>
      <w:r>
        <w:rPr>
          <w:rFonts w:ascii="仿宋" w:hAnsi="仿宋" w:eastAsia="仿宋" w:cs="仿宋"/>
          <w:spacing w:val="13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某一产品。截至上年末，企业从事特定细分市场时间达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到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5"/>
          <w:sz w:val="31"/>
          <w:szCs w:val="31"/>
        </w:rPr>
        <w:t>年以上，主营业务收入总额占营业收入总额比重不低于</w:t>
      </w:r>
    </w:p>
    <w:p>
      <w:pPr>
        <w:spacing w:line="429" w:lineRule="exact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position w:val="2"/>
          <w:sz w:val="31"/>
          <w:szCs w:val="31"/>
        </w:rPr>
        <w:t>70%</w:t>
      </w:r>
      <w:r>
        <w:rPr>
          <w:rFonts w:ascii="仿宋" w:hAnsi="仿宋" w:eastAsia="仿宋" w:cs="仿宋"/>
          <w:spacing w:val="2"/>
          <w:position w:val="2"/>
          <w:sz w:val="31"/>
          <w:szCs w:val="31"/>
        </w:rPr>
        <w:t>，近</w:t>
      </w:r>
      <w:r>
        <w:rPr>
          <w:rFonts w:ascii="Times New Roman" w:hAnsi="Times New Roman" w:eastAsia="Times New Roman" w:cs="Times New Roman"/>
          <w:spacing w:val="2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2"/>
          <w:position w:val="2"/>
          <w:sz w:val="31"/>
          <w:szCs w:val="31"/>
        </w:rPr>
        <w:t>年主营业务收入平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均增长率不低于</w:t>
      </w:r>
      <w:r>
        <w:rPr>
          <w:rFonts w:ascii="Times New Roman" w:hAnsi="Times New Roman" w:eastAsia="Times New Roman" w:cs="Times New Roman"/>
          <w:spacing w:val="1"/>
          <w:position w:val="2"/>
          <w:sz w:val="31"/>
          <w:szCs w:val="31"/>
        </w:rPr>
        <w:t>5%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。</w:t>
      </w:r>
    </w:p>
    <w:p>
      <w:pPr>
        <w:spacing w:before="228" w:line="417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、精细化指标</w:t>
      </w:r>
    </w:p>
    <w:p>
      <w:pPr>
        <w:spacing w:before="190" w:line="351" w:lineRule="auto"/>
        <w:ind w:left="27" w:right="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重</w:t>
      </w:r>
      <w:r>
        <w:rPr>
          <w:rFonts w:ascii="仿宋" w:hAnsi="仿宋" w:eastAsia="仿宋" w:cs="仿宋"/>
          <w:spacing w:val="8"/>
          <w:sz w:val="31"/>
          <w:szCs w:val="31"/>
        </w:rPr>
        <w:t>视并实施长期发展战略，公司治理规范、信誉良好、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社会责任感强，生产技术、工艺及产品质量性能国内领先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注重数字化、绿色化发展，在研发设计、生产制造、供应</w:t>
      </w:r>
      <w:r>
        <w:rPr>
          <w:rFonts w:ascii="仿宋" w:hAnsi="仿宋" w:eastAsia="仿宋" w:cs="仿宋"/>
          <w:spacing w:val="7"/>
          <w:sz w:val="31"/>
          <w:szCs w:val="31"/>
        </w:rPr>
        <w:t>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管理</w:t>
      </w:r>
      <w:r>
        <w:rPr>
          <w:rFonts w:ascii="仿宋" w:hAnsi="仿宋" w:eastAsia="仿宋" w:cs="仿宋"/>
          <w:spacing w:val="9"/>
          <w:sz w:val="31"/>
          <w:szCs w:val="31"/>
        </w:rPr>
        <w:t>等</w:t>
      </w:r>
      <w:r>
        <w:rPr>
          <w:rFonts w:ascii="仿宋" w:hAnsi="仿宋" w:eastAsia="仿宋" w:cs="仿宋"/>
          <w:spacing w:val="5"/>
          <w:sz w:val="31"/>
          <w:szCs w:val="31"/>
        </w:rPr>
        <w:t>环节，至少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项核心业务采用信息系统支撑。取得相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关管理体系认证，或</w:t>
      </w:r>
      <w:r>
        <w:rPr>
          <w:rFonts w:ascii="仿宋" w:hAnsi="仿宋" w:eastAsia="仿宋" w:cs="仿宋"/>
          <w:spacing w:val="3"/>
          <w:sz w:val="31"/>
          <w:szCs w:val="31"/>
        </w:rPr>
        <w:t>产</w:t>
      </w:r>
      <w:r>
        <w:rPr>
          <w:rFonts w:ascii="仿宋" w:hAnsi="仿宋" w:eastAsia="仿宋" w:cs="仿宋"/>
          <w:spacing w:val="2"/>
          <w:sz w:val="31"/>
          <w:szCs w:val="31"/>
        </w:rPr>
        <w:t>品通过发达国家和地区产品认证(国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际标准协会行业认证)。截至上年末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15"/>
          <w:sz w:val="31"/>
          <w:szCs w:val="31"/>
        </w:rPr>
        <w:t>企业资产负债率不</w:t>
      </w:r>
      <w:r>
        <w:rPr>
          <w:rFonts w:ascii="仿宋" w:hAnsi="仿宋" w:eastAsia="仿宋" w:cs="仿宋"/>
          <w:spacing w:val="10"/>
          <w:sz w:val="31"/>
          <w:szCs w:val="31"/>
        </w:rPr>
        <w:t>高</w:t>
      </w:r>
    </w:p>
    <w:p>
      <w:pPr>
        <w:spacing w:line="429" w:lineRule="exact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position w:val="3"/>
          <w:sz w:val="31"/>
          <w:szCs w:val="31"/>
        </w:rPr>
        <w:t>于</w:t>
      </w:r>
      <w:r>
        <w:rPr>
          <w:rFonts w:ascii="Times New Roman" w:hAnsi="Times New Roman" w:eastAsia="Times New Roman" w:cs="Times New Roman"/>
          <w:spacing w:val="-13"/>
          <w:position w:val="3"/>
          <w:sz w:val="31"/>
          <w:szCs w:val="31"/>
        </w:rPr>
        <w:t>70%</w:t>
      </w:r>
      <w:r>
        <w:rPr>
          <w:rFonts w:ascii="仿宋" w:hAnsi="仿宋" w:eastAsia="仿宋" w:cs="仿宋"/>
          <w:spacing w:val="-13"/>
          <w:position w:val="3"/>
          <w:sz w:val="31"/>
          <w:szCs w:val="31"/>
        </w:rPr>
        <w:t>。</w:t>
      </w:r>
    </w:p>
    <w:p>
      <w:pPr>
        <w:spacing w:before="228" w:line="241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三、特色化指</w:t>
      </w:r>
      <w:r>
        <w:rPr>
          <w:rFonts w:ascii="黑体" w:hAnsi="黑体" w:eastAsia="黑体" w:cs="黑体"/>
          <w:spacing w:val="5"/>
          <w:sz w:val="31"/>
          <w:szCs w:val="31"/>
        </w:rPr>
        <w:t>标</w:t>
      </w:r>
    </w:p>
    <w:p>
      <w:pPr>
        <w:spacing w:before="198" w:line="352" w:lineRule="auto"/>
        <w:ind w:left="26" w:right="1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技</w:t>
      </w:r>
      <w:r>
        <w:rPr>
          <w:rFonts w:ascii="仿宋" w:hAnsi="仿宋" w:eastAsia="仿宋" w:cs="仿宋"/>
          <w:spacing w:val="14"/>
          <w:sz w:val="31"/>
          <w:szCs w:val="31"/>
        </w:rPr>
        <w:t>术</w:t>
      </w:r>
      <w:r>
        <w:rPr>
          <w:rFonts w:ascii="仿宋" w:hAnsi="仿宋" w:eastAsia="仿宋" w:cs="仿宋"/>
          <w:spacing w:val="8"/>
          <w:sz w:val="31"/>
          <w:szCs w:val="31"/>
        </w:rPr>
        <w:t>和产品有自身独特优势，主导产品在全国细分市场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占有率达</w:t>
      </w:r>
      <w:r>
        <w:rPr>
          <w:rFonts w:ascii="仿宋" w:hAnsi="仿宋" w:eastAsia="仿宋" w:cs="仿宋"/>
          <w:spacing w:val="6"/>
          <w:sz w:val="31"/>
          <w:szCs w:val="31"/>
        </w:rPr>
        <w:t>到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10%</w:t>
      </w:r>
      <w:r>
        <w:rPr>
          <w:rFonts w:ascii="仿宋" w:hAnsi="仿宋" w:eastAsia="仿宋" w:cs="仿宋"/>
          <w:spacing w:val="4"/>
          <w:sz w:val="31"/>
          <w:szCs w:val="31"/>
        </w:rPr>
        <w:t>以上，且享有较高知名度和影响力。拥有直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接</w:t>
      </w:r>
      <w:r>
        <w:rPr>
          <w:rFonts w:ascii="仿宋" w:hAnsi="仿宋" w:eastAsia="仿宋" w:cs="仿宋"/>
          <w:spacing w:val="11"/>
          <w:sz w:val="31"/>
          <w:szCs w:val="31"/>
        </w:rPr>
        <w:t>面</w:t>
      </w:r>
      <w:r>
        <w:rPr>
          <w:rFonts w:ascii="仿宋" w:hAnsi="仿宋" w:eastAsia="仿宋" w:cs="仿宋"/>
          <w:spacing w:val="8"/>
          <w:sz w:val="31"/>
          <w:szCs w:val="31"/>
        </w:rPr>
        <w:t>向市场并具有竞争优势的自主品牌。</w:t>
      </w:r>
    </w:p>
    <w:p>
      <w:pPr>
        <w:spacing w:before="24" w:line="232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四、创新能力指</w:t>
      </w:r>
      <w:r>
        <w:rPr>
          <w:rFonts w:ascii="黑体" w:hAnsi="黑体" w:eastAsia="黑体" w:cs="黑体"/>
          <w:spacing w:val="4"/>
          <w:sz w:val="31"/>
          <w:szCs w:val="31"/>
        </w:rPr>
        <w:t>标</w:t>
      </w:r>
    </w:p>
    <w:p>
      <w:pPr>
        <w:sectPr>
          <w:footerReference r:id="rId5" w:type="default"/>
          <w:pgSz w:w="11906" w:h="16839"/>
          <w:pgMar w:top="1431" w:right="1785" w:bottom="1238" w:left="1785" w:header="0" w:footer="1052" w:gutter="0"/>
          <w:cols w:space="720" w:num="1"/>
        </w:sectPr>
      </w:pPr>
    </w:p>
    <w:p>
      <w:pPr>
        <w:spacing w:before="214" w:line="224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满</w:t>
      </w:r>
      <w:r>
        <w:rPr>
          <w:rFonts w:ascii="仿宋" w:hAnsi="仿宋" w:eastAsia="仿宋" w:cs="仿宋"/>
          <w:spacing w:val="7"/>
          <w:sz w:val="31"/>
          <w:szCs w:val="31"/>
        </w:rPr>
        <w:t>足一般性条件或创新直通条件。</w:t>
      </w:r>
    </w:p>
    <w:p>
      <w:pPr>
        <w:spacing w:before="173" w:line="224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(一) 一般性条件。需同时满足</w:t>
      </w:r>
      <w:r>
        <w:rPr>
          <w:rFonts w:ascii="仿宋" w:hAnsi="仿宋" w:eastAsia="仿宋" w:cs="仿宋"/>
          <w:sz w:val="31"/>
          <w:szCs w:val="31"/>
        </w:rPr>
        <w:t>以下三项：</w:t>
      </w:r>
    </w:p>
    <w:p>
      <w:pPr>
        <w:spacing w:before="243" w:line="372" w:lineRule="auto"/>
        <w:ind w:left="25" w:right="315" w:firstLine="66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1.</w:t>
      </w:r>
      <w:r>
        <w:rPr>
          <w:rFonts w:ascii="仿宋" w:hAnsi="仿宋" w:eastAsia="仿宋" w:cs="仿宋"/>
          <w:spacing w:val="6"/>
          <w:sz w:val="31"/>
          <w:szCs w:val="31"/>
        </w:rPr>
        <w:t>上年度营业</w:t>
      </w:r>
      <w:r>
        <w:rPr>
          <w:rFonts w:ascii="仿宋" w:hAnsi="仿宋" w:eastAsia="仿宋" w:cs="仿宋"/>
          <w:spacing w:val="3"/>
          <w:sz w:val="31"/>
          <w:szCs w:val="31"/>
        </w:rPr>
        <w:t>收入总额在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>亿元以上的企业，近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>年研</w:t>
      </w:r>
      <w:r>
        <w:rPr>
          <w:rFonts w:ascii="仿宋" w:hAnsi="仿宋" w:eastAsia="仿宋" w:cs="仿宋"/>
          <w:spacing w:val="20"/>
          <w:sz w:val="31"/>
          <w:szCs w:val="31"/>
        </w:rPr>
        <w:t>发</w:t>
      </w:r>
      <w:r>
        <w:rPr>
          <w:rFonts w:ascii="仿宋" w:hAnsi="仿宋" w:eastAsia="仿宋" w:cs="仿宋"/>
          <w:spacing w:val="16"/>
          <w:sz w:val="31"/>
          <w:szCs w:val="31"/>
        </w:rPr>
        <w:t>费</w:t>
      </w:r>
      <w:r>
        <w:rPr>
          <w:rFonts w:ascii="仿宋" w:hAnsi="仿宋" w:eastAsia="仿宋" w:cs="仿宋"/>
          <w:spacing w:val="10"/>
          <w:sz w:val="31"/>
          <w:szCs w:val="31"/>
        </w:rPr>
        <w:t>用总额占营业收入总额比重均不低于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3%</w:t>
      </w:r>
      <w:r>
        <w:rPr>
          <w:rFonts w:ascii="仿宋" w:hAnsi="仿宋" w:eastAsia="仿宋" w:cs="仿宋"/>
          <w:spacing w:val="10"/>
          <w:sz w:val="31"/>
          <w:szCs w:val="31"/>
        </w:rPr>
        <w:t>；上年度营业</w:t>
      </w:r>
      <w:r>
        <w:rPr>
          <w:rFonts w:ascii="仿宋" w:hAnsi="仿宋" w:eastAsia="仿宋" w:cs="仿宋"/>
          <w:spacing w:val="-8"/>
          <w:sz w:val="31"/>
          <w:szCs w:val="31"/>
        </w:rPr>
        <w:t>收入总额</w:t>
      </w:r>
      <w:r>
        <w:rPr>
          <w:rFonts w:ascii="仿宋" w:hAnsi="仿宋" w:eastAsia="仿宋" w:cs="仿宋"/>
          <w:spacing w:val="-5"/>
          <w:sz w:val="31"/>
          <w:szCs w:val="31"/>
        </w:rPr>
        <w:t>在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-4"/>
          <w:sz w:val="31"/>
          <w:szCs w:val="31"/>
        </w:rPr>
        <w:t>万—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4"/>
          <w:sz w:val="31"/>
          <w:szCs w:val="31"/>
        </w:rPr>
        <w:t>亿元的企业，近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4"/>
          <w:sz w:val="31"/>
          <w:szCs w:val="31"/>
        </w:rPr>
        <w:t>年研发费用总额</w:t>
      </w:r>
      <w:r>
        <w:rPr>
          <w:rFonts w:ascii="仿宋" w:hAnsi="仿宋" w:eastAsia="仿宋" w:cs="仿宋"/>
          <w:spacing w:val="20"/>
          <w:sz w:val="31"/>
          <w:szCs w:val="31"/>
        </w:rPr>
        <w:t>占</w:t>
      </w:r>
      <w:r>
        <w:rPr>
          <w:rFonts w:ascii="仿宋" w:hAnsi="仿宋" w:eastAsia="仿宋" w:cs="仿宋"/>
          <w:spacing w:val="14"/>
          <w:sz w:val="31"/>
          <w:szCs w:val="31"/>
        </w:rPr>
        <w:t>营</w:t>
      </w:r>
      <w:r>
        <w:rPr>
          <w:rFonts w:ascii="仿宋" w:hAnsi="仿宋" w:eastAsia="仿宋" w:cs="仿宋"/>
          <w:spacing w:val="10"/>
          <w:sz w:val="31"/>
          <w:szCs w:val="31"/>
        </w:rPr>
        <w:t>业收入总额比重均不低于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6%</w:t>
      </w:r>
      <w:r>
        <w:rPr>
          <w:rFonts w:ascii="仿宋" w:hAnsi="仿宋" w:eastAsia="仿宋" w:cs="仿宋"/>
          <w:spacing w:val="10"/>
          <w:sz w:val="31"/>
          <w:szCs w:val="31"/>
        </w:rPr>
        <w:t>；上年度营业收入总额在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4"/>
          <w:sz w:val="31"/>
          <w:szCs w:val="31"/>
        </w:rPr>
        <w:t>万元以下</w:t>
      </w:r>
      <w:r>
        <w:rPr>
          <w:rFonts w:ascii="仿宋" w:hAnsi="仿宋" w:eastAsia="仿宋" w:cs="仿宋"/>
          <w:spacing w:val="2"/>
          <w:sz w:val="31"/>
          <w:szCs w:val="31"/>
        </w:rPr>
        <w:t>的企业，同时满足近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>年新增股权融资总额(合</w:t>
      </w:r>
      <w:r>
        <w:rPr>
          <w:rFonts w:ascii="仿宋" w:hAnsi="仿宋" w:eastAsia="仿宋" w:cs="仿宋"/>
          <w:spacing w:val="20"/>
          <w:sz w:val="31"/>
          <w:szCs w:val="31"/>
        </w:rPr>
        <w:t>格</w:t>
      </w:r>
      <w:r>
        <w:rPr>
          <w:rFonts w:ascii="仿宋" w:hAnsi="仿宋" w:eastAsia="仿宋" w:cs="仿宋"/>
          <w:spacing w:val="10"/>
          <w:sz w:val="31"/>
          <w:szCs w:val="31"/>
        </w:rPr>
        <w:t>机构投资者的实缴额)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8000 </w:t>
      </w:r>
      <w:r>
        <w:rPr>
          <w:rFonts w:ascii="仿宋" w:hAnsi="仿宋" w:eastAsia="仿宋" w:cs="仿宋"/>
          <w:spacing w:val="10"/>
          <w:sz w:val="31"/>
          <w:szCs w:val="31"/>
        </w:rPr>
        <w:t>万元以上，且研发费用总额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000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万元以上、研发人员占企业职工总数比重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50%</w:t>
      </w:r>
      <w:r>
        <w:rPr>
          <w:rFonts w:ascii="仿宋" w:hAnsi="仿宋" w:eastAsia="仿宋" w:cs="仿宋"/>
          <w:spacing w:val="5"/>
          <w:sz w:val="31"/>
          <w:szCs w:val="31"/>
        </w:rPr>
        <w:t>以上。</w:t>
      </w:r>
    </w:p>
    <w:p>
      <w:pPr>
        <w:spacing w:before="3" w:line="371" w:lineRule="auto"/>
        <w:ind w:left="30" w:right="318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8"/>
          <w:sz w:val="31"/>
          <w:szCs w:val="31"/>
        </w:rPr>
        <w:t>自建或与高等院校、科研机构联合建立研发机构，设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立技</w:t>
      </w:r>
      <w:r>
        <w:rPr>
          <w:rFonts w:ascii="仿宋" w:hAnsi="仿宋" w:eastAsia="仿宋" w:cs="仿宋"/>
          <w:spacing w:val="11"/>
          <w:sz w:val="31"/>
          <w:szCs w:val="31"/>
        </w:rPr>
        <w:t>术</w:t>
      </w:r>
      <w:r>
        <w:rPr>
          <w:rFonts w:ascii="仿宋" w:hAnsi="仿宋" w:eastAsia="仿宋" w:cs="仿宋"/>
          <w:spacing w:val="8"/>
          <w:sz w:val="31"/>
          <w:szCs w:val="31"/>
        </w:rPr>
        <w:t>研究院、企业技术中心、企业工程中心、院士专家工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作</w:t>
      </w:r>
      <w:r>
        <w:rPr>
          <w:rFonts w:ascii="仿宋" w:hAnsi="仿宋" w:eastAsia="仿宋" w:cs="仿宋"/>
          <w:spacing w:val="7"/>
          <w:sz w:val="31"/>
          <w:szCs w:val="31"/>
        </w:rPr>
        <w:t>站、博士后工作站等。</w:t>
      </w:r>
    </w:p>
    <w:p>
      <w:pPr>
        <w:spacing w:before="2" w:line="370" w:lineRule="auto"/>
        <w:ind w:left="34" w:right="315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3.</w:t>
      </w:r>
      <w:r>
        <w:rPr>
          <w:rFonts w:ascii="仿宋" w:hAnsi="仿宋" w:eastAsia="仿宋" w:cs="仿宋"/>
          <w:spacing w:val="4"/>
          <w:sz w:val="31"/>
          <w:szCs w:val="31"/>
        </w:rPr>
        <w:t>拥有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>项以上与主导产品相关的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Ⅰ</w:t>
      </w:r>
      <w:r>
        <w:rPr>
          <w:rFonts w:ascii="仿宋" w:hAnsi="仿宋" w:eastAsia="仿宋" w:cs="仿宋"/>
          <w:spacing w:val="4"/>
          <w:sz w:val="31"/>
          <w:szCs w:val="31"/>
        </w:rPr>
        <w:t>类知识产权，且实</w:t>
      </w:r>
      <w:r>
        <w:rPr>
          <w:rFonts w:ascii="仿宋" w:hAnsi="仿宋" w:eastAsia="仿宋" w:cs="仿宋"/>
          <w:spacing w:val="1"/>
          <w:sz w:val="31"/>
          <w:szCs w:val="31"/>
        </w:rPr>
        <w:t>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应</w:t>
      </w:r>
      <w:r>
        <w:rPr>
          <w:rFonts w:ascii="仿宋" w:hAnsi="仿宋" w:eastAsia="仿宋" w:cs="仿宋"/>
          <w:spacing w:val="7"/>
          <w:sz w:val="31"/>
          <w:szCs w:val="31"/>
        </w:rPr>
        <w:t>用并已产生经济效益。</w:t>
      </w:r>
    </w:p>
    <w:p>
      <w:pPr>
        <w:spacing w:line="224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(二</w:t>
      </w:r>
      <w:bookmarkStart w:id="0" w:name="_GoBack"/>
      <w:bookmarkEnd w:id="0"/>
      <w:r>
        <w:rPr>
          <w:rFonts w:ascii="仿宋" w:hAnsi="仿宋" w:eastAsia="仿宋" w:cs="仿宋"/>
          <w:spacing w:val="1"/>
          <w:sz w:val="31"/>
          <w:szCs w:val="31"/>
        </w:rPr>
        <w:t>) 创新直通条件。满足以下一项即</w:t>
      </w:r>
      <w:r>
        <w:rPr>
          <w:rFonts w:ascii="仿宋" w:hAnsi="仿宋" w:eastAsia="仿宋" w:cs="仿宋"/>
          <w:sz w:val="31"/>
          <w:szCs w:val="31"/>
        </w:rPr>
        <w:t>可：</w:t>
      </w:r>
    </w:p>
    <w:p>
      <w:pPr>
        <w:spacing w:before="304" w:line="356" w:lineRule="auto"/>
        <w:ind w:left="50" w:right="318"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近三年获得国家级科技奖励，并在获奖单位中排名前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三</w:t>
      </w:r>
      <w:r>
        <w:rPr>
          <w:rFonts w:ascii="仿宋" w:hAnsi="仿宋" w:eastAsia="仿宋" w:cs="仿宋"/>
          <w:spacing w:val="-13"/>
          <w:sz w:val="31"/>
          <w:szCs w:val="31"/>
        </w:rPr>
        <w:t>。</w:t>
      </w:r>
    </w:p>
    <w:p>
      <w:pPr>
        <w:spacing w:before="2" w:line="308" w:lineRule="auto"/>
        <w:ind w:left="29" w:right="382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近三年进入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创客中国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中小企业创新创业大赛全国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5"/>
          <w:sz w:val="31"/>
          <w:szCs w:val="31"/>
        </w:rPr>
        <w:t>强企业组名单。</w:t>
      </w:r>
    </w:p>
    <w:p>
      <w:pPr>
        <w:spacing w:before="2" w:line="239" w:lineRule="auto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五</w:t>
      </w:r>
      <w:r>
        <w:rPr>
          <w:rFonts w:ascii="黑体" w:hAnsi="黑体" w:eastAsia="黑体" w:cs="黑体"/>
          <w:spacing w:val="7"/>
          <w:sz w:val="31"/>
          <w:szCs w:val="31"/>
        </w:rPr>
        <w:t>、产业链配套指标</w:t>
      </w:r>
    </w:p>
    <w:p>
      <w:pPr>
        <w:spacing w:before="197" w:line="366" w:lineRule="auto"/>
        <w:ind w:left="29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位于产业链关键环节，围绕重点产业链实现关键基础</w:t>
      </w:r>
      <w:r>
        <w:rPr>
          <w:rFonts w:ascii="仿宋" w:hAnsi="仿宋" w:eastAsia="仿宋" w:cs="仿宋"/>
          <w:spacing w:val="8"/>
          <w:sz w:val="31"/>
          <w:szCs w:val="31"/>
        </w:rPr>
        <w:t>技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术和产品的产业化</w:t>
      </w:r>
      <w:r>
        <w:rPr>
          <w:rFonts w:ascii="仿宋" w:hAnsi="仿宋" w:eastAsia="仿宋" w:cs="仿宋"/>
          <w:spacing w:val="-3"/>
          <w:sz w:val="31"/>
          <w:szCs w:val="31"/>
        </w:rPr>
        <w:t>应</w:t>
      </w:r>
      <w:r>
        <w:rPr>
          <w:rFonts w:ascii="仿宋" w:hAnsi="仿宋" w:eastAsia="仿宋" w:cs="仿宋"/>
          <w:spacing w:val="-2"/>
          <w:sz w:val="31"/>
          <w:szCs w:val="31"/>
        </w:rPr>
        <w:t>用，发挥“补短板”“锻长板”“填空白”</w:t>
      </w:r>
    </w:p>
    <w:p>
      <w:pPr>
        <w:sectPr>
          <w:footerReference r:id="rId6" w:type="default"/>
          <w:pgSz w:w="11906" w:h="16839"/>
          <w:pgMar w:top="1431" w:right="1484" w:bottom="1238" w:left="1785" w:header="0" w:footer="1052" w:gutter="0"/>
          <w:cols w:space="720" w:num="1"/>
        </w:sectPr>
      </w:pPr>
    </w:p>
    <w:p>
      <w:pPr>
        <w:spacing w:before="217" w:line="220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等</w:t>
      </w:r>
      <w:r>
        <w:rPr>
          <w:rFonts w:ascii="仿宋" w:hAnsi="仿宋" w:eastAsia="仿宋" w:cs="仿宋"/>
          <w:spacing w:val="3"/>
          <w:sz w:val="31"/>
          <w:szCs w:val="31"/>
        </w:rPr>
        <w:t>重要作用。</w:t>
      </w:r>
    </w:p>
    <w:p>
      <w:pPr>
        <w:spacing w:before="228" w:line="233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、主导产品所属领域指标</w:t>
      </w:r>
    </w:p>
    <w:p>
      <w:pPr>
        <w:spacing w:before="212" w:line="357" w:lineRule="auto"/>
        <w:ind w:left="23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主</w:t>
      </w:r>
      <w:r>
        <w:rPr>
          <w:rFonts w:ascii="仿宋" w:hAnsi="仿宋" w:eastAsia="仿宋" w:cs="仿宋"/>
          <w:spacing w:val="8"/>
          <w:sz w:val="31"/>
          <w:szCs w:val="31"/>
        </w:rPr>
        <w:t>导产品原则上属于以下重点领域：从事细分产品市场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属于制造业核心基础零部件、元器件、关键软件、先进基</w:t>
      </w:r>
      <w:r>
        <w:rPr>
          <w:rFonts w:ascii="仿宋" w:hAnsi="仿宋" w:eastAsia="仿宋" w:cs="仿宋"/>
          <w:spacing w:val="8"/>
          <w:sz w:val="31"/>
          <w:szCs w:val="31"/>
        </w:rPr>
        <w:t>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工</w:t>
      </w:r>
      <w:r>
        <w:rPr>
          <w:rFonts w:ascii="仿宋" w:hAnsi="仿宋" w:eastAsia="仿宋" w:cs="仿宋"/>
          <w:spacing w:val="9"/>
          <w:sz w:val="31"/>
          <w:szCs w:val="31"/>
        </w:rPr>
        <w:t>艺、关键基础材料和产业技术基础；或符合制造强国战略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十</w:t>
      </w:r>
      <w:r>
        <w:rPr>
          <w:rFonts w:ascii="仿宋" w:hAnsi="仿宋" w:eastAsia="仿宋" w:cs="仿宋"/>
          <w:spacing w:val="7"/>
          <w:sz w:val="31"/>
          <w:szCs w:val="31"/>
        </w:rPr>
        <w:t>大重点产业领域；或属于网络强国建设的信息基础设施、</w:t>
      </w:r>
    </w:p>
    <w:p>
      <w:pPr>
        <w:spacing w:line="222" w:lineRule="auto"/>
        <w:ind w:left="4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关</w:t>
      </w:r>
      <w:r>
        <w:rPr>
          <w:rFonts w:ascii="仿宋" w:hAnsi="仿宋" w:eastAsia="仿宋" w:cs="仿宋"/>
          <w:spacing w:val="8"/>
          <w:sz w:val="31"/>
          <w:szCs w:val="31"/>
        </w:rPr>
        <w:t>键核心技术、网络安全、数据安全领域等产品。</w:t>
      </w:r>
    </w:p>
    <w:sectPr>
      <w:footerReference r:id="rId7" w:type="default"/>
      <w:pgSz w:w="11906" w:h="16839"/>
      <w:pgMar w:top="1431" w:right="1509" w:bottom="1481" w:left="1598" w:header="0" w:footer="12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254"/>
      <w:rPr>
        <w:rFonts w:ascii="Times New Roman" w:hAnsi="Times New Roman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2A553C3"/>
    <w:rsid w:val="33A871B2"/>
    <w:rsid w:val="3E883DA8"/>
    <w:rsid w:val="6CFF44D8"/>
    <w:rsid w:val="6F9F85CA"/>
    <w:rsid w:val="E3B006B4"/>
    <w:rsid w:val="FBFA0C7A"/>
    <w:rsid w:val="FDFF9056"/>
    <w:rsid w:val="FFBC8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2022-06-03T23:34:00Z</dcterms:created>
  <dc:creator>Administrator</dc:creator>
  <cp:keywords>629ea8234859290017a75bfb</cp:keywords>
  <cp:lastModifiedBy>greatwall</cp:lastModifiedBy>
  <dcterms:modified xsi:type="dcterms:W3CDTF">2022-06-16T17:00:18Z</dcterms:modified>
  <dc:title>_x000B_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2022-06-07T09:21:55Z</vt:filetime>
  </property>
  <property fmtid="{D5CDD505-2E9C-101B-9397-08002B2CF9AE}" pid="4" name="KSOProductBuildVer">
    <vt:lpwstr>2052-11.8.2.10125</vt:lpwstr>
  </property>
</Properties>
</file>