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900"/>
          <w:tab w:val="left" w:pos="1080"/>
        </w:tabs>
        <w:spacing w:line="560" w:lineRule="exact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  <w:t>承诺书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 申报单位(加盖公章)：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申报单位法定代表人或委托代理人(签字):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年   月   日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00000000"/>
    <w:rsid w:val="464954B7"/>
    <w:rsid w:val="662431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2023-05-04T07:34:00Z</dcterms:created>
  <dc:creator>ceprei</dc:creator>
  <cp:lastModifiedBy>曲超</cp:lastModifiedBy>
  <dcterms:modified xsi:type="dcterms:W3CDTF">2023-05-05T07:18:41Z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46481811D5CB4DC1A80EE86E6C45DC82_12</vt:lpwstr>
  </property>
</Properties>
</file>