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对接活动联系人及联系方式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1383"/>
        <w:gridCol w:w="2147"/>
        <w:gridCol w:w="2095"/>
        <w:gridCol w:w="1991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工信部门联系人报送至fwtxc@gdei.gov.cn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auto"/>
          <w:sz w:val="32"/>
          <w:szCs w:val="32"/>
        </w:rPr>
        <w:t>教育部门联系人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请扫码进行报送。</w:t>
      </w:r>
    </w:p>
    <w:p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37360" cy="1737360"/>
            <wp:effectExtent l="0" t="0" r="15240" b="1524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5D10"/>
    <w:rsid w:val="022D2609"/>
    <w:rsid w:val="12B77D0D"/>
    <w:rsid w:val="17085D10"/>
    <w:rsid w:val="69717971"/>
    <w:rsid w:val="697771C4"/>
    <w:rsid w:val="707A2712"/>
    <w:rsid w:val="7AE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2020-05-18T09:58:00Z</dcterms:created>
  <dc:creator>刘喆菁</dc:creator>
  <cp:lastModifiedBy>杨楠</cp:lastModifiedBy>
  <dcterms:modified xsi:type="dcterms:W3CDTF">2023-05-10T17:49:40Z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60E1D9B489604B8B91324C787324391F</vt:lpwstr>
  </property>
</Properties>
</file>