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60" w:lineRule="exact"/>
        <w:rPr>
          <w:rFonts w:ascii="Times New Roman" w:hAnsi="Times New Roman" w:eastAsia="黑体"/>
          <w:sz w:val="32"/>
          <w:szCs w:val="32"/>
        </w:rPr>
      </w:pPr>
      <w:r>
        <w:rPr>
          <w:rFonts w:ascii="Times New Roman" w:hAnsi="Times New Roman" w:eastAsia="黑体"/>
          <w:sz w:val="32"/>
          <w:szCs w:val="32"/>
        </w:rPr>
        <w:t>附件1</w:t>
      </w:r>
    </w:p>
    <w:p>
      <w:pPr>
        <w:snapToGrid w:val="0"/>
        <w:spacing w:line="560" w:lineRule="exact"/>
        <w:jc w:val="center"/>
        <w:rPr>
          <w:rFonts w:eastAsia="方正小标宋简体"/>
          <w:bCs/>
          <w:sz w:val="44"/>
          <w:szCs w:val="44"/>
        </w:rPr>
      </w:pPr>
    </w:p>
    <w:p>
      <w:pPr>
        <w:snapToGrid w:val="0"/>
        <w:spacing w:line="560" w:lineRule="exact"/>
        <w:jc w:val="center"/>
        <w:rPr>
          <w:rFonts w:eastAsia="方正小标宋简体"/>
          <w:bCs/>
          <w:sz w:val="44"/>
          <w:szCs w:val="44"/>
        </w:rPr>
      </w:pPr>
      <w:bookmarkStart w:id="1" w:name="_GoBack"/>
      <w:r>
        <w:rPr>
          <w:rFonts w:eastAsia="方正小标宋简体"/>
          <w:bCs/>
          <w:sz w:val="44"/>
          <w:szCs w:val="44"/>
        </w:rPr>
        <w:t>2023年全国行业职业技能竞赛——第二届全国工业和信息化技术技能大赛</w:t>
      </w:r>
      <w:r>
        <w:rPr>
          <w:rFonts w:hint="eastAsia" w:eastAsia="方正小标宋简体"/>
          <w:bCs/>
          <w:sz w:val="44"/>
          <w:szCs w:val="44"/>
        </w:rPr>
        <w:t>网络与信息安全管理员S（工业互联网安全）</w:t>
      </w:r>
      <w:r>
        <w:rPr>
          <w:rFonts w:eastAsia="方正小标宋简体"/>
          <w:bCs/>
          <w:sz w:val="44"/>
          <w:szCs w:val="44"/>
        </w:rPr>
        <w:t>广东省选拔赛</w:t>
      </w:r>
    </w:p>
    <w:p>
      <w:pPr>
        <w:snapToGrid w:val="0"/>
        <w:spacing w:line="560" w:lineRule="exact"/>
        <w:jc w:val="center"/>
        <w:rPr>
          <w:rFonts w:eastAsia="方正小标宋简体"/>
          <w:w w:val="95"/>
          <w:sz w:val="44"/>
          <w:szCs w:val="44"/>
        </w:rPr>
      </w:pPr>
      <w:r>
        <w:rPr>
          <w:rFonts w:eastAsia="方正小标宋简体"/>
          <w:w w:val="95"/>
          <w:sz w:val="44"/>
          <w:szCs w:val="44"/>
        </w:rPr>
        <w:t>技术方案</w:t>
      </w:r>
      <w:bookmarkEnd w:id="1"/>
    </w:p>
    <w:p>
      <w:pPr>
        <w:spacing w:line="560" w:lineRule="exact"/>
      </w:pPr>
    </w:p>
    <w:p>
      <w:pPr>
        <w:pStyle w:val="3"/>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一、大赛名称</w:t>
      </w:r>
    </w:p>
    <w:p>
      <w:pPr>
        <w:pStyle w:val="3"/>
        <w:tabs>
          <w:tab w:val="left" w:pos="2078"/>
        </w:tabs>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2023年全国行业职业技能竞赛——第二届全国工业和信息化技术技能大赛</w:t>
      </w:r>
      <w:r>
        <w:rPr>
          <w:rFonts w:hint="eastAsia" w:ascii="Times New Roman" w:hAnsi="Times New Roman" w:eastAsia="仿宋_GB2312"/>
          <w:sz w:val="32"/>
          <w:szCs w:val="32"/>
        </w:rPr>
        <w:t>网络与信息安全管理员S（工业互联网安全）</w:t>
      </w:r>
      <w:r>
        <w:rPr>
          <w:rFonts w:ascii="Times New Roman" w:hAnsi="Times New Roman" w:eastAsia="仿宋_GB2312"/>
          <w:sz w:val="32"/>
          <w:szCs w:val="32"/>
        </w:rPr>
        <w:t>广东省选拔赛。</w:t>
      </w:r>
    </w:p>
    <w:p>
      <w:pPr>
        <w:pStyle w:val="3"/>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二、大赛意义</w:t>
      </w:r>
    </w:p>
    <w:p>
      <w:pPr>
        <w:snapToGrid w:val="0"/>
        <w:spacing w:line="560" w:lineRule="exact"/>
        <w:ind w:firstLine="640" w:firstLineChars="200"/>
        <w:rPr>
          <w:rFonts w:eastAsia="仿宋_GB2312"/>
          <w:kern w:val="44"/>
          <w:sz w:val="32"/>
          <w:szCs w:val="32"/>
        </w:rPr>
      </w:pPr>
      <w:r>
        <w:rPr>
          <w:rFonts w:eastAsia="仿宋_GB2312"/>
          <w:kern w:val="44"/>
          <w:sz w:val="32"/>
          <w:szCs w:val="32"/>
        </w:rPr>
        <w:t>本次大赛旨在贯彻落实习近平总书记关于“加快建设世界重要人才中心和创新高地”的指示精神，聚焦工业互联网安全重点方向，搭建一批典型工业应用场景及实战平台，带动攻关一批工业互联网安全关键核心技术，培养一批支撑制造强国、网络强国建设的网络安全技术精英队伍，为推动广东省工业互联网创新发展、制造强国和网络强国建设作出贡献。</w:t>
      </w:r>
    </w:p>
    <w:p>
      <w:pPr>
        <w:snapToGrid w:val="0"/>
        <w:spacing w:line="560" w:lineRule="exact"/>
        <w:ind w:firstLine="640" w:firstLineChars="200"/>
        <w:rPr>
          <w:rFonts w:eastAsia="仿宋_GB2312"/>
          <w:kern w:val="44"/>
          <w:sz w:val="32"/>
          <w:szCs w:val="32"/>
        </w:rPr>
      </w:pPr>
      <w:r>
        <w:rPr>
          <w:rFonts w:eastAsia="仿宋_GB2312"/>
          <w:kern w:val="44"/>
          <w:sz w:val="32"/>
          <w:szCs w:val="32"/>
        </w:rPr>
        <w:t>一是带动工业互联网安全技术创新突破。大赛围绕工业互联网创新融合化和应用专业化的发展特点，聚焦制造业转型的先导领域，构建包括工业现场设备、工业控制设备、数据采集设备、企业信息系统、工业互联网平台、安全防护产品等典型要素在内的工业互联网典型应用与防护场景，以此促进5G、人工智能、区块链等新技术的融合应用，推进新型基础设施、新型应用模式等先导应用安全体系建设和前沿技术突破，有效带动产业各方安全技术攻关、工程化应用和模式创新。</w:t>
      </w:r>
    </w:p>
    <w:p>
      <w:pPr>
        <w:snapToGrid w:val="0"/>
        <w:spacing w:line="560" w:lineRule="exact"/>
        <w:ind w:firstLine="640" w:firstLineChars="200"/>
        <w:rPr>
          <w:rFonts w:eastAsia="仿宋_GB2312"/>
          <w:kern w:val="44"/>
          <w:sz w:val="32"/>
          <w:szCs w:val="32"/>
        </w:rPr>
      </w:pPr>
      <w:r>
        <w:rPr>
          <w:rFonts w:eastAsia="仿宋_GB2312"/>
          <w:kern w:val="44"/>
          <w:sz w:val="32"/>
          <w:szCs w:val="32"/>
        </w:rPr>
        <w:t>二是提升工业行业网络和数据安全技术技能水平。本次大赛除继续考察选手在工业互联网设备、控制、网络、应用等方面的安全防护相关技术技能外，还涉及数据安全、密码应用等热点领域，考察选手对于新兴安全防护知识的认识与掌握程度，有助于参赛选手在工业互联网安全理论水平与实操能力的全面提升。</w:t>
      </w:r>
    </w:p>
    <w:p>
      <w:pPr>
        <w:snapToGrid w:val="0"/>
        <w:spacing w:line="560" w:lineRule="exact"/>
        <w:ind w:firstLine="640" w:firstLineChars="200"/>
        <w:rPr>
          <w:rFonts w:eastAsia="仿宋_GB2312"/>
          <w:kern w:val="44"/>
          <w:sz w:val="32"/>
          <w:szCs w:val="32"/>
        </w:rPr>
      </w:pPr>
      <w:r>
        <w:rPr>
          <w:rFonts w:eastAsia="仿宋_GB2312"/>
          <w:kern w:val="44"/>
          <w:sz w:val="32"/>
          <w:szCs w:val="32"/>
        </w:rPr>
        <w:t>三是扩大储备复合型网络安全技术技能人才队伍。大赛将全面考察选手在工业互联网安全防护架构设计、防护策略部署、安全评估评测、安全事件处置分析等方面的理论与技术水平，通过吸引来自全国各地各行业各领域的广泛关注参与，发掘和培养一批既懂信息通信技术、又熟悉生产制造流程，具备跨界协作能力的复合型、创新型安全人才。</w:t>
      </w:r>
    </w:p>
    <w:p>
      <w:pPr>
        <w:pStyle w:val="3"/>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三、大赛内容、形式和成绩计算</w:t>
      </w:r>
    </w:p>
    <w:p>
      <w:pPr>
        <w:pStyle w:val="2"/>
        <w:spacing w:before="0" w:after="0" w:line="560" w:lineRule="exact"/>
        <w:ind w:firstLine="640" w:firstLineChars="200"/>
        <w:rPr>
          <w:rFonts w:ascii="Times New Roman" w:hAnsi="Times New Roman" w:eastAsia="楷体_GB2312"/>
          <w:b w:val="0"/>
        </w:rPr>
      </w:pPr>
      <w:r>
        <w:rPr>
          <w:rFonts w:ascii="Times New Roman" w:hAnsi="Times New Roman" w:eastAsia="楷体_GB2312"/>
          <w:b w:val="0"/>
        </w:rPr>
        <w:t>（一）竞赛内容</w:t>
      </w:r>
    </w:p>
    <w:p>
      <w:pPr>
        <w:snapToGrid w:val="0"/>
        <w:spacing w:line="560" w:lineRule="exact"/>
        <w:ind w:firstLine="640" w:firstLineChars="200"/>
        <w:rPr>
          <w:rFonts w:eastAsia="仿宋_GB2312"/>
          <w:kern w:val="44"/>
          <w:sz w:val="32"/>
          <w:szCs w:val="32"/>
        </w:rPr>
      </w:pPr>
      <w:r>
        <w:rPr>
          <w:rFonts w:eastAsia="仿宋_GB2312"/>
          <w:kern w:val="44"/>
          <w:sz w:val="32"/>
          <w:szCs w:val="32"/>
        </w:rPr>
        <w:t>本次竞赛内容包含理论知识和实际操作两部分。</w:t>
      </w:r>
    </w:p>
    <w:p>
      <w:pPr>
        <w:pStyle w:val="2"/>
        <w:spacing w:before="0" w:after="0" w:line="560" w:lineRule="exact"/>
        <w:ind w:firstLine="640" w:firstLineChars="200"/>
        <w:rPr>
          <w:rFonts w:ascii="Times New Roman" w:hAnsi="Times New Roman" w:eastAsia="楷体_GB2312"/>
          <w:b w:val="0"/>
        </w:rPr>
      </w:pPr>
      <w:r>
        <w:rPr>
          <w:rFonts w:ascii="Times New Roman" w:hAnsi="Times New Roman" w:eastAsia="楷体_GB2312"/>
          <w:b w:val="0"/>
        </w:rPr>
        <w:t>（二）竞赛形式</w:t>
      </w:r>
    </w:p>
    <w:p>
      <w:pPr>
        <w:snapToGrid w:val="0"/>
        <w:spacing w:line="560" w:lineRule="exact"/>
        <w:ind w:firstLine="640" w:firstLineChars="200"/>
        <w:rPr>
          <w:rFonts w:eastAsia="仿宋_GB2312"/>
          <w:kern w:val="44"/>
          <w:sz w:val="32"/>
          <w:szCs w:val="32"/>
        </w:rPr>
      </w:pPr>
      <w:r>
        <w:rPr>
          <w:rFonts w:eastAsia="仿宋_GB2312"/>
          <w:kern w:val="44"/>
          <w:sz w:val="32"/>
          <w:szCs w:val="32"/>
        </w:rPr>
        <w:t>本次竞赛为三人团队赛（团队成员应来自同一工作单位或院校），分为职工组（含教师）和学生组，职工组与学生组考试内容一致。</w:t>
      </w:r>
    </w:p>
    <w:p>
      <w:pPr>
        <w:pStyle w:val="2"/>
        <w:spacing w:before="0" w:after="0" w:line="560" w:lineRule="exact"/>
        <w:ind w:firstLine="640" w:firstLineChars="200"/>
        <w:rPr>
          <w:rFonts w:ascii="Times New Roman" w:hAnsi="Times New Roman" w:eastAsia="楷体_GB2312"/>
          <w:b w:val="0"/>
        </w:rPr>
      </w:pPr>
      <w:r>
        <w:rPr>
          <w:rFonts w:ascii="Times New Roman" w:hAnsi="Times New Roman" w:eastAsia="楷体_GB2312"/>
          <w:b w:val="0"/>
        </w:rPr>
        <w:t>（三）报名条件</w:t>
      </w:r>
    </w:p>
    <w:p>
      <w:pPr>
        <w:snapToGrid w:val="0"/>
        <w:spacing w:line="560" w:lineRule="exact"/>
        <w:ind w:firstLine="640" w:firstLineChars="200"/>
        <w:rPr>
          <w:rFonts w:eastAsia="仿宋_GB2312"/>
          <w:kern w:val="44"/>
          <w:sz w:val="32"/>
          <w:szCs w:val="32"/>
        </w:rPr>
      </w:pPr>
      <w:r>
        <w:rPr>
          <w:rFonts w:eastAsia="仿宋_GB2312"/>
          <w:kern w:val="44"/>
          <w:sz w:val="32"/>
          <w:szCs w:val="32"/>
        </w:rPr>
        <w:t>具有工业互联网安全相关职业工作经历的企业在职人员，从事相关专业工作的高等院校、职业院校（含技工院校，下同）在职人员，以及高等院校、职业院校相关专业全日制在籍学生均可报名参赛。</w:t>
      </w:r>
    </w:p>
    <w:p>
      <w:pPr>
        <w:snapToGrid w:val="0"/>
        <w:spacing w:line="560" w:lineRule="exact"/>
        <w:ind w:firstLine="640" w:firstLineChars="200"/>
        <w:rPr>
          <w:rFonts w:eastAsia="仿宋_GB2312"/>
          <w:kern w:val="44"/>
          <w:sz w:val="32"/>
          <w:szCs w:val="32"/>
        </w:rPr>
      </w:pPr>
      <w:r>
        <w:rPr>
          <w:rFonts w:eastAsia="仿宋_GB2312"/>
          <w:kern w:val="44"/>
          <w:sz w:val="32"/>
          <w:szCs w:val="32"/>
        </w:rPr>
        <w:t>已获得“中华技能大奖”、“全国技术能手”称号及取得“全国技术能手”申报资格的人员，不得以选手身份参赛。具有全日制学籍的在校创业学生不得以职工身份参赛。</w:t>
      </w:r>
    </w:p>
    <w:p>
      <w:pPr>
        <w:pStyle w:val="4"/>
      </w:pPr>
    </w:p>
    <w:p>
      <w:pPr>
        <w:pStyle w:val="2"/>
        <w:spacing w:before="0" w:after="0" w:line="560" w:lineRule="exact"/>
        <w:ind w:firstLine="640" w:firstLineChars="200"/>
        <w:rPr>
          <w:rFonts w:ascii="Times New Roman" w:hAnsi="Times New Roman" w:eastAsia="楷体_GB2312"/>
          <w:b w:val="0"/>
        </w:rPr>
      </w:pPr>
      <w:r>
        <w:rPr>
          <w:rFonts w:ascii="Times New Roman" w:hAnsi="Times New Roman" w:eastAsia="楷体_GB2312"/>
          <w:b w:val="0"/>
        </w:rPr>
        <w:t>（四）成绩计算</w:t>
      </w:r>
    </w:p>
    <w:p>
      <w:pPr>
        <w:snapToGrid w:val="0"/>
        <w:spacing w:line="560" w:lineRule="exact"/>
        <w:ind w:firstLine="640" w:firstLineChars="200"/>
        <w:rPr>
          <w:rFonts w:eastAsia="仿宋_GB2312"/>
          <w:kern w:val="44"/>
          <w:sz w:val="32"/>
          <w:szCs w:val="32"/>
        </w:rPr>
      </w:pPr>
      <w:r>
        <w:rPr>
          <w:rFonts w:eastAsia="仿宋_GB2312"/>
          <w:kern w:val="44"/>
          <w:sz w:val="32"/>
          <w:szCs w:val="32"/>
        </w:rPr>
        <w:t>理论知识竞赛满分为100分，按20%的比例折算计入竞赛总成绩。赛题均为客观题，采用机考方式实现。</w:t>
      </w:r>
    </w:p>
    <w:p>
      <w:pPr>
        <w:snapToGrid w:val="0"/>
        <w:spacing w:line="560" w:lineRule="exact"/>
        <w:ind w:firstLine="640" w:firstLineChars="200"/>
        <w:rPr>
          <w:rFonts w:eastAsia="仿宋_GB2312"/>
          <w:kern w:val="44"/>
          <w:sz w:val="32"/>
          <w:szCs w:val="32"/>
        </w:rPr>
      </w:pPr>
      <w:r>
        <w:rPr>
          <w:rFonts w:eastAsia="仿宋_GB2312"/>
          <w:kern w:val="44"/>
          <w:sz w:val="32"/>
          <w:szCs w:val="32"/>
        </w:rPr>
        <w:t>实际操作竞赛满分为100分，按80%的比例折算计入竞赛总成绩。</w:t>
      </w:r>
    </w:p>
    <w:p>
      <w:pPr>
        <w:snapToGrid w:val="0"/>
        <w:spacing w:line="560" w:lineRule="exact"/>
        <w:ind w:firstLine="640" w:firstLineChars="200"/>
        <w:rPr>
          <w:rFonts w:eastAsia="仿宋_GB2312"/>
          <w:kern w:val="44"/>
          <w:sz w:val="32"/>
          <w:szCs w:val="32"/>
        </w:rPr>
      </w:pPr>
      <w:r>
        <w:rPr>
          <w:rFonts w:eastAsia="仿宋_GB2312"/>
          <w:kern w:val="44"/>
          <w:sz w:val="32"/>
          <w:szCs w:val="32"/>
        </w:rPr>
        <w:t>折算后的理论知识竞赛成绩与实际操作竞赛成绩相加得出参赛选手竞赛总成绩，满分为100分。</w:t>
      </w:r>
    </w:p>
    <w:p>
      <w:pPr>
        <w:pStyle w:val="3"/>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四、大赛命题原则</w:t>
      </w:r>
    </w:p>
    <w:p>
      <w:pPr>
        <w:snapToGrid w:val="0"/>
        <w:spacing w:line="560" w:lineRule="exact"/>
        <w:ind w:firstLine="640" w:firstLineChars="200"/>
        <w:rPr>
          <w:rFonts w:eastAsia="仿宋_GB2312"/>
          <w:kern w:val="44"/>
          <w:sz w:val="32"/>
          <w:szCs w:val="32"/>
        </w:rPr>
      </w:pPr>
      <w:r>
        <w:rPr>
          <w:rFonts w:eastAsia="仿宋_GB2312"/>
          <w:kern w:val="44"/>
          <w:sz w:val="32"/>
          <w:szCs w:val="32"/>
        </w:rPr>
        <w:t>按照网络与信息安全管理员国家职业技能标准要求，在工业互联网安全领域基本技能考核的基础上重点突出企业所需专业技能及新技术应用，体现工业互联网安全技术及管理与生产实际相结合的原则，突出职业能力考核及工匠精神要求。</w:t>
      </w:r>
    </w:p>
    <w:p>
      <w:pPr>
        <w:pStyle w:val="3"/>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五、大赛范围、赛题类型和其他</w:t>
      </w:r>
    </w:p>
    <w:p>
      <w:pPr>
        <w:pStyle w:val="3"/>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（一）理论知识竞赛</w:t>
      </w:r>
    </w:p>
    <w:p>
      <w:pPr>
        <w:snapToGrid w:val="0"/>
        <w:spacing w:line="560" w:lineRule="exact"/>
        <w:ind w:firstLine="640" w:firstLineChars="200"/>
        <w:rPr>
          <w:rFonts w:eastAsia="仿宋_GB2312"/>
          <w:kern w:val="44"/>
          <w:sz w:val="32"/>
          <w:szCs w:val="32"/>
        </w:rPr>
      </w:pPr>
      <w:r>
        <w:rPr>
          <w:rFonts w:eastAsia="仿宋_GB2312"/>
          <w:kern w:val="44"/>
          <w:sz w:val="32"/>
          <w:szCs w:val="32"/>
        </w:rPr>
        <w:t>1.考核范围包括工业互联网安全政策法规、工业互联网安全标准规范、工业互联网安全理论与基础知识、工业互联网安全技术、工业互联网安全管理、工业互联网安全运行等。</w:t>
      </w:r>
    </w:p>
    <w:p>
      <w:pPr>
        <w:snapToGrid w:val="0"/>
        <w:spacing w:line="560" w:lineRule="exact"/>
        <w:ind w:firstLine="640" w:firstLineChars="200"/>
        <w:rPr>
          <w:rFonts w:eastAsia="仿宋_GB2312"/>
          <w:kern w:val="44"/>
          <w:sz w:val="32"/>
          <w:szCs w:val="32"/>
        </w:rPr>
      </w:pPr>
      <w:r>
        <w:rPr>
          <w:rFonts w:eastAsia="仿宋_GB2312"/>
          <w:kern w:val="44"/>
          <w:sz w:val="32"/>
          <w:szCs w:val="32"/>
        </w:rPr>
        <w:t>（1）工业互联网安全政策法规</w:t>
      </w:r>
    </w:p>
    <w:p>
      <w:pPr>
        <w:snapToGrid w:val="0"/>
        <w:spacing w:line="560" w:lineRule="exact"/>
        <w:ind w:firstLine="640" w:firstLineChars="200"/>
        <w:rPr>
          <w:rFonts w:eastAsia="仿宋_GB2312"/>
          <w:kern w:val="44"/>
          <w:sz w:val="32"/>
          <w:szCs w:val="32"/>
        </w:rPr>
      </w:pPr>
      <w:r>
        <w:rPr>
          <w:rFonts w:eastAsia="仿宋_GB2312"/>
          <w:kern w:val="44"/>
          <w:sz w:val="32"/>
          <w:szCs w:val="32"/>
        </w:rPr>
        <w:t>包括工业互联网安全相关法律、法规、政策等。</w:t>
      </w:r>
    </w:p>
    <w:p>
      <w:pPr>
        <w:snapToGrid w:val="0"/>
        <w:spacing w:line="560" w:lineRule="exact"/>
        <w:ind w:firstLine="640" w:firstLineChars="200"/>
        <w:rPr>
          <w:rFonts w:eastAsia="仿宋_GB2312"/>
          <w:kern w:val="44"/>
          <w:sz w:val="32"/>
          <w:szCs w:val="32"/>
        </w:rPr>
      </w:pPr>
      <w:r>
        <w:rPr>
          <w:rFonts w:eastAsia="仿宋_GB2312"/>
          <w:kern w:val="44"/>
          <w:sz w:val="32"/>
          <w:szCs w:val="32"/>
        </w:rPr>
        <w:t>（2）工业互联网安全标准规范</w:t>
      </w:r>
    </w:p>
    <w:p>
      <w:pPr>
        <w:snapToGrid w:val="0"/>
        <w:spacing w:line="560" w:lineRule="exact"/>
        <w:ind w:firstLine="640" w:firstLineChars="200"/>
        <w:rPr>
          <w:rFonts w:eastAsia="仿宋_GB2312"/>
          <w:kern w:val="44"/>
          <w:sz w:val="32"/>
          <w:szCs w:val="32"/>
        </w:rPr>
      </w:pPr>
      <w:r>
        <w:rPr>
          <w:rFonts w:eastAsia="仿宋_GB2312"/>
          <w:kern w:val="44"/>
          <w:sz w:val="32"/>
          <w:szCs w:val="32"/>
        </w:rPr>
        <w:t>包括工业互联网安全标准体系、工业互联网安全相关国际与国内标准等。</w:t>
      </w:r>
    </w:p>
    <w:p>
      <w:pPr>
        <w:snapToGrid w:val="0"/>
        <w:spacing w:line="560" w:lineRule="exact"/>
        <w:ind w:firstLine="640" w:firstLineChars="200"/>
        <w:rPr>
          <w:rFonts w:eastAsia="仿宋_GB2312"/>
          <w:kern w:val="44"/>
          <w:sz w:val="32"/>
          <w:szCs w:val="32"/>
        </w:rPr>
      </w:pPr>
      <w:r>
        <w:rPr>
          <w:rFonts w:eastAsia="仿宋_GB2312"/>
          <w:kern w:val="44"/>
          <w:sz w:val="32"/>
          <w:szCs w:val="32"/>
        </w:rPr>
        <w:t>（3）工业互联网安全理论与基础知识</w:t>
      </w:r>
    </w:p>
    <w:p>
      <w:pPr>
        <w:snapToGrid w:val="0"/>
        <w:spacing w:line="560" w:lineRule="exact"/>
        <w:ind w:firstLine="640" w:firstLineChars="200"/>
        <w:rPr>
          <w:rFonts w:eastAsia="仿宋_GB2312"/>
          <w:kern w:val="44"/>
          <w:sz w:val="32"/>
          <w:szCs w:val="32"/>
        </w:rPr>
      </w:pPr>
      <w:r>
        <w:rPr>
          <w:rFonts w:eastAsia="仿宋_GB2312"/>
          <w:kern w:val="44"/>
          <w:sz w:val="32"/>
          <w:szCs w:val="32"/>
        </w:rPr>
        <w:t>包括工业互联网的定义与内涵、发展历程、体系架构等工业互联网相关基础知识，网络安全典型理论与模型、工业互联网安全框架等工业互联网安全防护相关理论与模型，密码学、网络安全应用、系统安全等工业互联网安全相关基础知识。</w:t>
      </w:r>
    </w:p>
    <w:p>
      <w:pPr>
        <w:snapToGrid w:val="0"/>
        <w:spacing w:line="560" w:lineRule="exact"/>
        <w:ind w:firstLine="640" w:firstLineChars="200"/>
        <w:rPr>
          <w:rFonts w:eastAsia="仿宋_GB2312"/>
          <w:kern w:val="44"/>
          <w:sz w:val="32"/>
          <w:szCs w:val="32"/>
        </w:rPr>
      </w:pPr>
      <w:r>
        <w:rPr>
          <w:rFonts w:eastAsia="仿宋_GB2312"/>
          <w:kern w:val="44"/>
          <w:sz w:val="32"/>
          <w:szCs w:val="32"/>
        </w:rPr>
        <w:t>（4）工业互联网安全技术</w:t>
      </w:r>
    </w:p>
    <w:p>
      <w:pPr>
        <w:snapToGrid w:val="0"/>
        <w:spacing w:line="560" w:lineRule="exact"/>
        <w:ind w:firstLine="640" w:firstLineChars="200"/>
        <w:rPr>
          <w:rFonts w:eastAsia="仿宋_GB2312"/>
          <w:kern w:val="44"/>
          <w:sz w:val="32"/>
          <w:szCs w:val="32"/>
        </w:rPr>
      </w:pPr>
      <w:r>
        <w:rPr>
          <w:rFonts w:eastAsia="仿宋_GB2312"/>
          <w:kern w:val="44"/>
          <w:sz w:val="32"/>
          <w:szCs w:val="32"/>
        </w:rPr>
        <w:t>包括工业互联网物理访问控制、盗窃破坏保护、环境变化保护、电磁防护、工业现场设备安全、智能设备安全、智能装备安全、控制软件安全、控制协议安全、企业内网络安全、企业外网络安全、标识解析系统安全、工业互联网平台安全、工业应用程序安全、数据分类分级保护、数据脱敏、数据跨境传输监测、个人信息保护等安全技术相关内容。</w:t>
      </w:r>
    </w:p>
    <w:p>
      <w:pPr>
        <w:snapToGrid w:val="0"/>
        <w:spacing w:line="560" w:lineRule="exact"/>
        <w:ind w:firstLine="640" w:firstLineChars="200"/>
        <w:rPr>
          <w:rFonts w:eastAsia="仿宋_GB2312"/>
          <w:kern w:val="44"/>
          <w:sz w:val="32"/>
          <w:szCs w:val="32"/>
        </w:rPr>
      </w:pPr>
      <w:r>
        <w:rPr>
          <w:rFonts w:eastAsia="仿宋_GB2312"/>
          <w:kern w:val="44"/>
          <w:sz w:val="32"/>
          <w:szCs w:val="32"/>
        </w:rPr>
        <w:t>（5）工业互联网安全管理</w:t>
      </w:r>
    </w:p>
    <w:p>
      <w:pPr>
        <w:snapToGrid w:val="0"/>
        <w:spacing w:line="560" w:lineRule="exact"/>
        <w:ind w:firstLine="640" w:firstLineChars="200"/>
        <w:rPr>
          <w:rFonts w:eastAsia="仿宋_GB2312"/>
          <w:kern w:val="44"/>
          <w:sz w:val="32"/>
          <w:szCs w:val="32"/>
        </w:rPr>
      </w:pPr>
      <w:r>
        <w:rPr>
          <w:rFonts w:eastAsia="仿宋_GB2312"/>
          <w:kern w:val="44"/>
          <w:sz w:val="32"/>
          <w:szCs w:val="32"/>
        </w:rPr>
        <w:t>包括工业互联网安全策略制度体系、策略制度制定与发布、策略制度评审与修订、岗位设置管理、人员配备管理、权限授权与审批、机构间沟通合作、安全审核与检查、人员录用管理、人员离岗管理、人员教育与培训、外部人员管理、安全方案设计、产品采购与使用管理、软件开发管理、项目实施管理、验收与交付管理、供应商管理、环境管理、资产管理、介质管理、设备维护管理、漏洞和风险管理、网络和系统安全管理、恶意代码防范管理、配置管理、密码管理、变更管理、备份与恢复管理、安全事件处置、应急预案管理、外包运维管理等方面内容。</w:t>
      </w:r>
    </w:p>
    <w:p>
      <w:pPr>
        <w:snapToGrid w:val="0"/>
        <w:spacing w:line="560" w:lineRule="exact"/>
        <w:ind w:firstLine="640" w:firstLineChars="200"/>
        <w:rPr>
          <w:rFonts w:eastAsia="仿宋_GB2312"/>
          <w:kern w:val="44"/>
          <w:sz w:val="32"/>
          <w:szCs w:val="32"/>
        </w:rPr>
      </w:pPr>
      <w:r>
        <w:rPr>
          <w:rFonts w:eastAsia="仿宋_GB2312"/>
          <w:kern w:val="44"/>
          <w:sz w:val="32"/>
          <w:szCs w:val="32"/>
        </w:rPr>
        <w:t>（6）工业互联网安全运行</w:t>
      </w:r>
    </w:p>
    <w:p>
      <w:pPr>
        <w:snapToGrid w:val="0"/>
        <w:spacing w:line="560" w:lineRule="exact"/>
        <w:ind w:firstLine="640" w:firstLineChars="200"/>
        <w:rPr>
          <w:rFonts w:eastAsia="仿宋_GB2312"/>
          <w:kern w:val="44"/>
          <w:sz w:val="32"/>
          <w:szCs w:val="32"/>
        </w:rPr>
      </w:pPr>
      <w:r>
        <w:rPr>
          <w:rFonts w:eastAsia="仿宋_GB2312"/>
          <w:kern w:val="44"/>
          <w:sz w:val="32"/>
          <w:szCs w:val="32"/>
        </w:rPr>
        <w:t>包括工业互联网安全风险评估原理、风险评估实施、风险评估工作形式、风险评估相关工具、安全监测、风险预警、应急响应处置流程、常见安全事件的处置、威胁信息内容、威胁信息共享模型、威胁信息共享流程、审计流程、审计形式、常见产品与工具等方面内容。</w:t>
      </w:r>
    </w:p>
    <w:p>
      <w:pPr>
        <w:snapToGrid w:val="0"/>
        <w:spacing w:line="560" w:lineRule="exact"/>
        <w:ind w:firstLine="640" w:firstLineChars="200"/>
        <w:rPr>
          <w:rFonts w:eastAsia="仿宋_GB2312"/>
          <w:kern w:val="44"/>
          <w:sz w:val="32"/>
          <w:szCs w:val="32"/>
        </w:rPr>
      </w:pPr>
      <w:r>
        <w:rPr>
          <w:rFonts w:eastAsia="仿宋_GB2312"/>
          <w:kern w:val="44"/>
          <w:sz w:val="32"/>
          <w:szCs w:val="32"/>
        </w:rPr>
        <w:t>2.赛题类型</w:t>
      </w:r>
    </w:p>
    <w:p>
      <w:pPr>
        <w:snapToGrid w:val="0"/>
        <w:spacing w:line="560" w:lineRule="exact"/>
        <w:ind w:firstLine="640" w:firstLineChars="200"/>
        <w:rPr>
          <w:rFonts w:eastAsia="仿宋_GB2312"/>
          <w:kern w:val="44"/>
          <w:sz w:val="32"/>
          <w:szCs w:val="32"/>
        </w:rPr>
      </w:pPr>
      <w:r>
        <w:rPr>
          <w:rFonts w:eastAsia="仿宋_GB2312"/>
          <w:kern w:val="44"/>
          <w:sz w:val="32"/>
          <w:szCs w:val="32"/>
        </w:rPr>
        <w:t>赛题分为三种类型：单项选择题、多项选择题和判断题。</w:t>
      </w:r>
    </w:p>
    <w:p>
      <w:pPr>
        <w:snapToGrid w:val="0"/>
        <w:spacing w:line="560" w:lineRule="exact"/>
        <w:ind w:firstLine="640" w:firstLineChars="200"/>
        <w:rPr>
          <w:rFonts w:eastAsia="仿宋_GB2312"/>
          <w:kern w:val="44"/>
          <w:sz w:val="32"/>
          <w:szCs w:val="32"/>
        </w:rPr>
      </w:pPr>
      <w:r>
        <w:rPr>
          <w:rFonts w:eastAsia="仿宋_GB2312"/>
          <w:kern w:val="44"/>
          <w:sz w:val="32"/>
          <w:szCs w:val="32"/>
        </w:rPr>
        <w:t>3.竞赛时间</w:t>
      </w:r>
    </w:p>
    <w:p>
      <w:pPr>
        <w:snapToGrid w:val="0"/>
        <w:spacing w:line="560" w:lineRule="exact"/>
        <w:ind w:firstLine="640" w:firstLineChars="200"/>
        <w:rPr>
          <w:rFonts w:eastAsia="仿宋_GB2312"/>
          <w:kern w:val="44"/>
          <w:sz w:val="32"/>
          <w:szCs w:val="32"/>
        </w:rPr>
      </w:pPr>
      <w:r>
        <w:rPr>
          <w:rFonts w:eastAsia="仿宋_GB2312"/>
          <w:kern w:val="44"/>
          <w:sz w:val="32"/>
          <w:szCs w:val="32"/>
        </w:rPr>
        <w:t>理论知识竞赛时间为1小时。</w:t>
      </w:r>
    </w:p>
    <w:p>
      <w:pPr>
        <w:snapToGrid w:val="0"/>
        <w:spacing w:line="560" w:lineRule="exact"/>
        <w:ind w:firstLine="640" w:firstLineChars="200"/>
        <w:rPr>
          <w:rFonts w:eastAsia="仿宋_GB2312"/>
          <w:kern w:val="44"/>
          <w:sz w:val="32"/>
          <w:szCs w:val="32"/>
        </w:rPr>
      </w:pPr>
      <w:r>
        <w:rPr>
          <w:rFonts w:eastAsia="仿宋_GB2312"/>
          <w:kern w:val="44"/>
          <w:sz w:val="32"/>
          <w:szCs w:val="32"/>
        </w:rPr>
        <w:t>4.命题方式</w:t>
      </w:r>
    </w:p>
    <w:p>
      <w:pPr>
        <w:snapToGrid w:val="0"/>
        <w:spacing w:line="560" w:lineRule="exact"/>
        <w:ind w:firstLine="640" w:firstLineChars="200"/>
        <w:rPr>
          <w:rFonts w:eastAsia="仿宋_GB2312"/>
          <w:kern w:val="44"/>
          <w:sz w:val="32"/>
          <w:szCs w:val="32"/>
        </w:rPr>
      </w:pPr>
      <w:r>
        <w:rPr>
          <w:rFonts w:eastAsia="仿宋_GB2312"/>
          <w:kern w:val="44"/>
          <w:sz w:val="32"/>
          <w:szCs w:val="32"/>
        </w:rPr>
        <w:t>由大赛组委会组织专家组统一命题。</w:t>
      </w:r>
    </w:p>
    <w:p>
      <w:pPr>
        <w:snapToGrid w:val="0"/>
        <w:spacing w:line="560" w:lineRule="exact"/>
        <w:ind w:firstLine="640" w:firstLineChars="200"/>
        <w:rPr>
          <w:rFonts w:eastAsia="仿宋_GB2312"/>
          <w:kern w:val="44"/>
          <w:sz w:val="32"/>
          <w:szCs w:val="32"/>
        </w:rPr>
      </w:pPr>
      <w:r>
        <w:rPr>
          <w:rFonts w:eastAsia="仿宋_GB2312"/>
          <w:kern w:val="44"/>
          <w:sz w:val="32"/>
          <w:szCs w:val="32"/>
        </w:rPr>
        <w:t>5.考试方式</w:t>
      </w:r>
    </w:p>
    <w:p>
      <w:pPr>
        <w:snapToGrid w:val="0"/>
        <w:spacing w:line="560" w:lineRule="exact"/>
        <w:ind w:firstLine="640" w:firstLineChars="200"/>
        <w:rPr>
          <w:rFonts w:eastAsia="仿宋_GB2312"/>
          <w:kern w:val="44"/>
          <w:sz w:val="32"/>
          <w:szCs w:val="32"/>
        </w:rPr>
      </w:pPr>
      <w:r>
        <w:rPr>
          <w:rFonts w:eastAsia="仿宋_GB2312"/>
          <w:kern w:val="44"/>
          <w:sz w:val="32"/>
          <w:szCs w:val="32"/>
        </w:rPr>
        <w:t>采用计算机考试。</w:t>
      </w:r>
    </w:p>
    <w:p>
      <w:pPr>
        <w:pStyle w:val="3"/>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（二）实践操作竞赛</w:t>
      </w:r>
    </w:p>
    <w:p>
      <w:pPr>
        <w:snapToGrid w:val="0"/>
        <w:spacing w:line="560" w:lineRule="exact"/>
        <w:ind w:firstLine="640" w:firstLineChars="200"/>
        <w:rPr>
          <w:rFonts w:hint="eastAsia" w:eastAsia="仿宋_GB2312"/>
          <w:kern w:val="44"/>
          <w:sz w:val="32"/>
          <w:szCs w:val="32"/>
        </w:rPr>
      </w:pPr>
      <w:r>
        <w:rPr>
          <w:rFonts w:eastAsia="仿宋_GB2312"/>
          <w:kern w:val="44"/>
          <w:sz w:val="32"/>
          <w:szCs w:val="32"/>
          <w:lang w:eastAsia="zh-Hans"/>
        </w:rPr>
        <w:t>实践</w:t>
      </w:r>
      <w:r>
        <w:rPr>
          <w:rFonts w:eastAsia="仿宋_GB2312"/>
          <w:kern w:val="44"/>
          <w:sz w:val="32"/>
          <w:szCs w:val="32"/>
        </w:rPr>
        <w:t>操作竞赛以考核工业互联网安全应用技能为主，综合考察选手对于工业互联网业务的安全防护意识以及在防护过程中各阶段的技术技能水平。</w:t>
      </w:r>
    </w:p>
    <w:p>
      <w:pPr>
        <w:snapToGrid w:val="0"/>
        <w:spacing w:line="560" w:lineRule="exact"/>
        <w:ind w:firstLine="640" w:firstLineChars="200"/>
        <w:rPr>
          <w:rFonts w:hint="eastAsia" w:eastAsia="仿宋_GB2312"/>
          <w:kern w:val="44"/>
          <w:sz w:val="32"/>
          <w:szCs w:val="32"/>
        </w:rPr>
      </w:pPr>
      <w:r>
        <w:rPr>
          <w:rFonts w:eastAsia="仿宋_GB2312"/>
          <w:kern w:val="44"/>
          <w:sz w:val="32"/>
          <w:szCs w:val="32"/>
        </w:rPr>
        <w:t>1.竞赛范围与内容</w:t>
      </w:r>
    </w:p>
    <w:p>
      <w:pPr>
        <w:snapToGrid w:val="0"/>
        <w:spacing w:line="560" w:lineRule="exact"/>
        <w:ind w:firstLine="640" w:firstLineChars="200"/>
        <w:rPr>
          <w:rFonts w:hint="eastAsia" w:eastAsia="仿宋_GB2312"/>
          <w:kern w:val="44"/>
          <w:sz w:val="32"/>
          <w:szCs w:val="32"/>
        </w:rPr>
      </w:pPr>
      <w:r>
        <w:rPr>
          <w:rFonts w:eastAsia="仿宋_GB2312"/>
          <w:kern w:val="44"/>
          <w:sz w:val="32"/>
          <w:szCs w:val="32"/>
        </w:rPr>
        <w:t>为全面考查参赛选手的职业综合素质和技术技能水平，实际操作竞赛包括网络架构安全设计、业务安全加固实施、业务安全评估评测、安全事件应急处置、安全事件分析研判五大部分，具体内容见表1。</w:t>
      </w:r>
    </w:p>
    <w:p>
      <w:pPr>
        <w:spacing w:line="560" w:lineRule="exact"/>
        <w:ind w:left="3346"/>
        <w:jc w:val="left"/>
        <w:rPr>
          <w:rFonts w:eastAsia="仿宋_GB2312"/>
          <w:snapToGrid w:val="0"/>
          <w:color w:val="000000"/>
          <w:kern w:val="0"/>
          <w:sz w:val="28"/>
          <w:szCs w:val="28"/>
        </w:rPr>
      </w:pPr>
      <w:r>
        <w:rPr>
          <w:rFonts w:eastAsia="仿宋_GB2312"/>
          <w:snapToGrid w:val="0"/>
          <w:color w:val="000000"/>
          <w:kern w:val="0"/>
          <w:sz w:val="28"/>
          <w:szCs w:val="28"/>
        </w:rPr>
        <w:t>表1 竞赛范围与内容</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2785"/>
        <w:gridCol w:w="5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24" w:type="dxa"/>
            <w:vAlign w:val="center"/>
          </w:tcPr>
          <w:p>
            <w:pPr>
              <w:jc w:val="center"/>
              <w:rPr>
                <w:rFonts w:ascii="仿宋_GB2312" w:hAnsi="仿宋_GB2312" w:eastAsia="仿宋_GB2312" w:cs="仿宋_GB2312"/>
                <w:spacing w:val="-3"/>
                <w:kern w:val="0"/>
                <w:sz w:val="28"/>
                <w:szCs w:val="28"/>
              </w:rPr>
            </w:pPr>
            <w:r>
              <w:rPr>
                <w:rFonts w:hint="eastAsia" w:ascii="仿宋_GB2312" w:hAnsi="仿宋_GB2312" w:eastAsia="仿宋_GB2312" w:cs="仿宋_GB2312"/>
                <w:spacing w:val="-3"/>
                <w:kern w:val="0"/>
                <w:sz w:val="28"/>
                <w:szCs w:val="28"/>
              </w:rPr>
              <w:t>序号</w:t>
            </w:r>
          </w:p>
        </w:tc>
        <w:tc>
          <w:tcPr>
            <w:tcW w:w="2785" w:type="dxa"/>
            <w:vAlign w:val="center"/>
          </w:tcPr>
          <w:p>
            <w:pPr>
              <w:jc w:val="center"/>
              <w:rPr>
                <w:rFonts w:ascii="仿宋_GB2312" w:hAnsi="仿宋_GB2312" w:eastAsia="仿宋_GB2312" w:cs="仿宋_GB2312"/>
                <w:spacing w:val="-3"/>
                <w:kern w:val="0"/>
                <w:sz w:val="28"/>
                <w:szCs w:val="28"/>
              </w:rPr>
            </w:pPr>
            <w:r>
              <w:rPr>
                <w:rFonts w:hint="eastAsia" w:ascii="仿宋_GB2312" w:hAnsi="仿宋_GB2312" w:eastAsia="仿宋_GB2312" w:cs="仿宋_GB2312"/>
                <w:spacing w:val="-3"/>
                <w:kern w:val="0"/>
                <w:sz w:val="28"/>
                <w:szCs w:val="28"/>
              </w:rPr>
              <w:t>内容</w:t>
            </w:r>
          </w:p>
        </w:tc>
        <w:tc>
          <w:tcPr>
            <w:tcW w:w="5351" w:type="dxa"/>
            <w:vAlign w:val="center"/>
          </w:tcPr>
          <w:p>
            <w:pPr>
              <w:jc w:val="center"/>
              <w:rPr>
                <w:rFonts w:ascii="仿宋_GB2312" w:hAnsi="仿宋_GB2312" w:eastAsia="仿宋_GB2312" w:cs="仿宋_GB2312"/>
                <w:spacing w:val="-3"/>
                <w:kern w:val="0"/>
                <w:sz w:val="28"/>
                <w:szCs w:val="28"/>
              </w:rPr>
            </w:pPr>
            <w:r>
              <w:rPr>
                <w:rFonts w:hint="eastAsia" w:ascii="仿宋_GB2312" w:hAnsi="仿宋_GB2312" w:eastAsia="仿宋_GB2312" w:cs="仿宋_GB2312"/>
                <w:spacing w:val="-3"/>
                <w:kern w:val="0"/>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24" w:type="dxa"/>
            <w:vAlign w:val="center"/>
          </w:tcPr>
          <w:p>
            <w:pPr>
              <w:jc w:val="center"/>
              <w:rPr>
                <w:rFonts w:ascii="仿宋_GB2312" w:hAnsi="仿宋_GB2312" w:eastAsia="仿宋_GB2312" w:cs="仿宋_GB2312"/>
                <w:spacing w:val="-3"/>
                <w:kern w:val="0"/>
                <w:sz w:val="28"/>
                <w:szCs w:val="28"/>
              </w:rPr>
            </w:pPr>
            <w:r>
              <w:rPr>
                <w:rFonts w:hint="eastAsia" w:ascii="仿宋_GB2312" w:hAnsi="仿宋_GB2312" w:eastAsia="仿宋_GB2312" w:cs="仿宋_GB2312"/>
                <w:spacing w:val="-3"/>
                <w:kern w:val="0"/>
                <w:sz w:val="28"/>
                <w:szCs w:val="28"/>
              </w:rPr>
              <w:t>1</w:t>
            </w:r>
          </w:p>
        </w:tc>
        <w:tc>
          <w:tcPr>
            <w:tcW w:w="2785" w:type="dxa"/>
            <w:vAlign w:val="center"/>
          </w:tcPr>
          <w:p>
            <w:pPr>
              <w:jc w:val="center"/>
              <w:rPr>
                <w:rFonts w:ascii="仿宋_GB2312" w:hAnsi="仿宋_GB2312" w:eastAsia="仿宋_GB2312" w:cs="仿宋_GB2312"/>
                <w:spacing w:val="-3"/>
                <w:kern w:val="0"/>
                <w:sz w:val="28"/>
                <w:szCs w:val="28"/>
              </w:rPr>
            </w:pPr>
            <w:r>
              <w:rPr>
                <w:rFonts w:hint="eastAsia" w:ascii="仿宋_GB2312" w:hAnsi="仿宋_GB2312" w:eastAsia="仿宋_GB2312" w:cs="仿宋_GB2312"/>
                <w:spacing w:val="-3"/>
                <w:kern w:val="0"/>
                <w:sz w:val="28"/>
                <w:szCs w:val="28"/>
              </w:rPr>
              <w:t>网络架构安全设计</w:t>
            </w:r>
          </w:p>
        </w:tc>
        <w:tc>
          <w:tcPr>
            <w:tcW w:w="5351" w:type="dxa"/>
            <w:vAlign w:val="center"/>
          </w:tcPr>
          <w:p>
            <w:pPr>
              <w:rPr>
                <w:rFonts w:ascii="仿宋_GB2312" w:hAnsi="仿宋_GB2312" w:eastAsia="仿宋_GB2312" w:cs="仿宋_GB2312"/>
                <w:spacing w:val="-3"/>
                <w:kern w:val="0"/>
                <w:sz w:val="28"/>
                <w:szCs w:val="28"/>
              </w:rPr>
            </w:pPr>
            <w:r>
              <w:rPr>
                <w:rFonts w:hint="eastAsia" w:ascii="仿宋_GB2312" w:hAnsi="仿宋_GB2312" w:eastAsia="仿宋_GB2312" w:cs="仿宋_GB2312"/>
                <w:spacing w:val="-3"/>
                <w:kern w:val="0"/>
                <w:sz w:val="28"/>
                <w:szCs w:val="28"/>
              </w:rPr>
              <w:t>1.</w:t>
            </w:r>
            <w:r>
              <w:rPr>
                <w:rFonts w:ascii="仿宋_GB2312" w:hAnsi="仿宋_GB2312" w:eastAsia="仿宋_GB2312" w:cs="仿宋_GB2312"/>
                <w:spacing w:val="-3"/>
                <w:kern w:val="0"/>
                <w:sz w:val="28"/>
                <w:szCs w:val="28"/>
              </w:rPr>
              <w:t>网络拓扑构建；</w:t>
            </w:r>
          </w:p>
          <w:p>
            <w:pPr>
              <w:rPr>
                <w:rFonts w:ascii="仿宋_GB2312" w:hAnsi="仿宋_GB2312" w:eastAsia="仿宋_GB2312" w:cs="仿宋_GB2312"/>
                <w:spacing w:val="-3"/>
                <w:kern w:val="0"/>
                <w:sz w:val="28"/>
                <w:szCs w:val="28"/>
              </w:rPr>
            </w:pPr>
            <w:r>
              <w:rPr>
                <w:rFonts w:hint="eastAsia" w:ascii="仿宋_GB2312" w:hAnsi="仿宋_GB2312" w:eastAsia="仿宋_GB2312" w:cs="仿宋_GB2312"/>
                <w:spacing w:val="-3"/>
                <w:kern w:val="0"/>
                <w:sz w:val="28"/>
                <w:szCs w:val="28"/>
              </w:rPr>
              <w:t>2</w:t>
            </w:r>
            <w:r>
              <w:rPr>
                <w:rFonts w:ascii="仿宋_GB2312" w:hAnsi="仿宋_GB2312" w:eastAsia="仿宋_GB2312" w:cs="仿宋_GB2312"/>
                <w:spacing w:val="-3"/>
                <w:kern w:val="0"/>
                <w:sz w:val="28"/>
                <w:szCs w:val="28"/>
              </w:rPr>
              <w:t>.网络设备配置；</w:t>
            </w:r>
          </w:p>
          <w:p>
            <w:pPr>
              <w:rPr>
                <w:rFonts w:ascii="仿宋_GB2312" w:hAnsi="仿宋_GB2312" w:eastAsia="仿宋_GB2312" w:cs="仿宋_GB2312"/>
                <w:spacing w:val="-3"/>
                <w:kern w:val="0"/>
                <w:sz w:val="28"/>
                <w:szCs w:val="28"/>
              </w:rPr>
            </w:pPr>
            <w:r>
              <w:rPr>
                <w:rFonts w:hint="eastAsia" w:ascii="仿宋_GB2312" w:hAnsi="仿宋_GB2312" w:eastAsia="仿宋_GB2312" w:cs="仿宋_GB2312"/>
                <w:spacing w:val="-3"/>
                <w:kern w:val="0"/>
                <w:sz w:val="28"/>
                <w:szCs w:val="28"/>
              </w:rPr>
              <w:t>3</w:t>
            </w:r>
            <w:r>
              <w:rPr>
                <w:rFonts w:ascii="仿宋_GB2312" w:hAnsi="仿宋_GB2312" w:eastAsia="仿宋_GB2312" w:cs="仿宋_GB2312"/>
                <w:spacing w:val="-3"/>
                <w:kern w:val="0"/>
                <w:sz w:val="28"/>
                <w:szCs w:val="28"/>
              </w:rPr>
              <w:t>.安全设备配置</w:t>
            </w:r>
            <w:r>
              <w:rPr>
                <w:rFonts w:hint="eastAsia" w:ascii="仿宋_GB2312" w:hAnsi="仿宋_GB2312" w:eastAsia="仿宋_GB2312" w:cs="仿宋_GB2312"/>
                <w:spacing w:val="-3"/>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24" w:type="dxa"/>
            <w:vAlign w:val="center"/>
          </w:tcPr>
          <w:p>
            <w:pPr>
              <w:jc w:val="center"/>
              <w:rPr>
                <w:rFonts w:ascii="仿宋_GB2312" w:hAnsi="仿宋_GB2312" w:eastAsia="仿宋_GB2312" w:cs="仿宋_GB2312"/>
                <w:spacing w:val="-3"/>
                <w:kern w:val="0"/>
                <w:sz w:val="28"/>
                <w:szCs w:val="28"/>
              </w:rPr>
            </w:pPr>
            <w:r>
              <w:rPr>
                <w:rFonts w:hint="eastAsia" w:ascii="仿宋_GB2312" w:hAnsi="仿宋_GB2312" w:eastAsia="仿宋_GB2312" w:cs="仿宋_GB2312"/>
                <w:spacing w:val="-3"/>
                <w:kern w:val="0"/>
                <w:sz w:val="28"/>
                <w:szCs w:val="28"/>
              </w:rPr>
              <w:t>2</w:t>
            </w:r>
          </w:p>
        </w:tc>
        <w:tc>
          <w:tcPr>
            <w:tcW w:w="2785" w:type="dxa"/>
            <w:vAlign w:val="center"/>
          </w:tcPr>
          <w:p>
            <w:pPr>
              <w:jc w:val="center"/>
              <w:rPr>
                <w:rFonts w:ascii="仿宋_GB2312" w:hAnsi="仿宋_GB2312" w:eastAsia="仿宋_GB2312" w:cs="仿宋_GB2312"/>
                <w:spacing w:val="-3"/>
                <w:kern w:val="0"/>
                <w:sz w:val="28"/>
                <w:szCs w:val="28"/>
              </w:rPr>
            </w:pPr>
            <w:r>
              <w:rPr>
                <w:rFonts w:hint="eastAsia" w:ascii="仿宋_GB2312" w:hAnsi="仿宋_GB2312" w:eastAsia="仿宋_GB2312" w:cs="仿宋_GB2312"/>
                <w:spacing w:val="-3"/>
                <w:kern w:val="0"/>
                <w:sz w:val="28"/>
                <w:szCs w:val="28"/>
              </w:rPr>
              <w:t>业务安全加固实施</w:t>
            </w:r>
          </w:p>
        </w:tc>
        <w:tc>
          <w:tcPr>
            <w:tcW w:w="5351" w:type="dxa"/>
            <w:vAlign w:val="center"/>
          </w:tcPr>
          <w:p>
            <w:pPr>
              <w:rPr>
                <w:rFonts w:ascii="仿宋_GB2312" w:hAnsi="仿宋_GB2312" w:eastAsia="仿宋_GB2312" w:cs="仿宋_GB2312"/>
                <w:spacing w:val="-3"/>
                <w:kern w:val="0"/>
                <w:sz w:val="28"/>
                <w:szCs w:val="28"/>
              </w:rPr>
            </w:pPr>
            <w:r>
              <w:rPr>
                <w:rFonts w:hint="eastAsia" w:ascii="仿宋_GB2312" w:hAnsi="仿宋_GB2312" w:eastAsia="仿宋_GB2312" w:cs="仿宋_GB2312"/>
                <w:spacing w:val="-3"/>
                <w:kern w:val="0"/>
                <w:sz w:val="28"/>
                <w:szCs w:val="28"/>
              </w:rPr>
              <w:t>1.</w:t>
            </w:r>
            <w:r>
              <w:rPr>
                <w:rFonts w:ascii="仿宋_GB2312" w:hAnsi="仿宋_GB2312" w:eastAsia="仿宋_GB2312" w:cs="仿宋_GB2312"/>
                <w:spacing w:val="-3"/>
                <w:kern w:val="0"/>
                <w:sz w:val="28"/>
                <w:szCs w:val="28"/>
              </w:rPr>
              <w:t>工业互联网平台安全加固实施；</w:t>
            </w:r>
          </w:p>
          <w:p>
            <w:pPr>
              <w:rPr>
                <w:rFonts w:ascii="仿宋_GB2312" w:hAnsi="仿宋_GB2312" w:eastAsia="仿宋_GB2312" w:cs="仿宋_GB2312"/>
                <w:spacing w:val="-3"/>
                <w:kern w:val="0"/>
                <w:sz w:val="28"/>
                <w:szCs w:val="28"/>
              </w:rPr>
            </w:pPr>
            <w:r>
              <w:rPr>
                <w:rFonts w:ascii="仿宋_GB2312" w:hAnsi="仿宋_GB2312" w:eastAsia="仿宋_GB2312" w:cs="仿宋_GB2312"/>
                <w:spacing w:val="-3"/>
                <w:kern w:val="0"/>
                <w:sz w:val="28"/>
                <w:szCs w:val="28"/>
              </w:rPr>
              <w:t>2.MES安全加固实施；</w:t>
            </w:r>
          </w:p>
          <w:p>
            <w:pPr>
              <w:rPr>
                <w:rFonts w:ascii="仿宋_GB2312" w:hAnsi="仿宋_GB2312" w:eastAsia="仿宋_GB2312" w:cs="仿宋_GB2312"/>
                <w:spacing w:val="-3"/>
                <w:kern w:val="0"/>
                <w:sz w:val="28"/>
                <w:szCs w:val="28"/>
              </w:rPr>
            </w:pPr>
            <w:r>
              <w:rPr>
                <w:rFonts w:hint="eastAsia" w:ascii="仿宋_GB2312" w:hAnsi="仿宋_GB2312" w:eastAsia="仿宋_GB2312" w:cs="仿宋_GB2312"/>
                <w:spacing w:val="-3"/>
                <w:kern w:val="0"/>
                <w:sz w:val="28"/>
                <w:szCs w:val="28"/>
              </w:rPr>
              <w:t>3</w:t>
            </w:r>
            <w:r>
              <w:rPr>
                <w:rFonts w:ascii="仿宋_GB2312" w:hAnsi="仿宋_GB2312" w:eastAsia="仿宋_GB2312" w:cs="仿宋_GB2312"/>
                <w:spacing w:val="-3"/>
                <w:kern w:val="0"/>
                <w:sz w:val="28"/>
                <w:szCs w:val="28"/>
              </w:rPr>
              <w:t>.SCADA安全加固实施；</w:t>
            </w:r>
          </w:p>
          <w:p>
            <w:pPr>
              <w:rPr>
                <w:rFonts w:ascii="仿宋_GB2312" w:hAnsi="仿宋_GB2312" w:eastAsia="仿宋_GB2312" w:cs="仿宋_GB2312"/>
                <w:spacing w:val="-3"/>
                <w:kern w:val="0"/>
                <w:sz w:val="28"/>
                <w:szCs w:val="28"/>
              </w:rPr>
            </w:pPr>
            <w:r>
              <w:rPr>
                <w:rFonts w:hint="eastAsia" w:ascii="仿宋_GB2312" w:hAnsi="仿宋_GB2312" w:eastAsia="仿宋_GB2312" w:cs="仿宋_GB2312"/>
                <w:spacing w:val="-3"/>
                <w:kern w:val="0"/>
                <w:sz w:val="28"/>
                <w:szCs w:val="28"/>
              </w:rPr>
              <w:t>4</w:t>
            </w:r>
            <w:r>
              <w:rPr>
                <w:rFonts w:ascii="仿宋_GB2312" w:hAnsi="仿宋_GB2312" w:eastAsia="仿宋_GB2312" w:cs="仿宋_GB2312"/>
                <w:spacing w:val="-3"/>
                <w:kern w:val="0"/>
                <w:sz w:val="28"/>
                <w:szCs w:val="28"/>
              </w:rPr>
              <w:t>.HMI安全</w:t>
            </w:r>
            <w:r>
              <w:rPr>
                <w:rFonts w:hint="eastAsia" w:ascii="仿宋_GB2312" w:hAnsi="仿宋_GB2312" w:eastAsia="仿宋_GB2312" w:cs="仿宋_GB2312"/>
                <w:spacing w:val="-3"/>
                <w:kern w:val="0"/>
                <w:sz w:val="28"/>
                <w:szCs w:val="28"/>
              </w:rPr>
              <w:t>加固实施；</w:t>
            </w:r>
          </w:p>
          <w:p>
            <w:pPr>
              <w:rPr>
                <w:rFonts w:ascii="仿宋_GB2312" w:hAnsi="仿宋_GB2312" w:eastAsia="仿宋_GB2312" w:cs="仿宋_GB2312"/>
                <w:spacing w:val="-3"/>
                <w:kern w:val="0"/>
                <w:sz w:val="28"/>
                <w:szCs w:val="28"/>
              </w:rPr>
            </w:pPr>
            <w:r>
              <w:rPr>
                <w:rFonts w:hint="eastAsia" w:ascii="仿宋_GB2312" w:hAnsi="仿宋_GB2312" w:eastAsia="仿宋_GB2312" w:cs="仿宋_GB2312"/>
                <w:spacing w:val="-3"/>
                <w:kern w:val="0"/>
                <w:sz w:val="28"/>
                <w:szCs w:val="28"/>
              </w:rPr>
              <w:t>5</w:t>
            </w:r>
            <w:r>
              <w:rPr>
                <w:rFonts w:ascii="仿宋_GB2312" w:hAnsi="仿宋_GB2312" w:eastAsia="仿宋_GB2312" w:cs="仿宋_GB2312"/>
                <w:spacing w:val="-3"/>
                <w:kern w:val="0"/>
                <w:sz w:val="28"/>
                <w:szCs w:val="28"/>
              </w:rPr>
              <w:t>.PLC安全加固实施；</w:t>
            </w:r>
          </w:p>
          <w:p>
            <w:pPr>
              <w:rPr>
                <w:rFonts w:ascii="仿宋_GB2312" w:hAnsi="仿宋_GB2312" w:eastAsia="仿宋_GB2312" w:cs="仿宋_GB2312"/>
                <w:spacing w:val="-3"/>
                <w:kern w:val="0"/>
                <w:sz w:val="28"/>
                <w:szCs w:val="28"/>
              </w:rPr>
            </w:pPr>
            <w:r>
              <w:rPr>
                <w:rFonts w:hint="eastAsia" w:ascii="仿宋_GB2312" w:hAnsi="仿宋_GB2312" w:eastAsia="仿宋_GB2312" w:cs="仿宋_GB2312"/>
                <w:spacing w:val="-3"/>
                <w:kern w:val="0"/>
                <w:sz w:val="28"/>
                <w:szCs w:val="28"/>
              </w:rPr>
              <w:t>6</w:t>
            </w:r>
            <w:r>
              <w:rPr>
                <w:rFonts w:ascii="仿宋_GB2312" w:hAnsi="仿宋_GB2312" w:eastAsia="仿宋_GB2312" w:cs="仿宋_GB2312"/>
                <w:spacing w:val="-3"/>
                <w:kern w:val="0"/>
                <w:sz w:val="28"/>
                <w:szCs w:val="28"/>
              </w:rPr>
              <w:t>.交换机安全加固实施；</w:t>
            </w:r>
          </w:p>
          <w:p>
            <w:pPr>
              <w:rPr>
                <w:rFonts w:ascii="仿宋_GB2312" w:hAnsi="仿宋_GB2312" w:eastAsia="仿宋_GB2312" w:cs="仿宋_GB2312"/>
                <w:spacing w:val="-3"/>
                <w:kern w:val="0"/>
                <w:sz w:val="28"/>
                <w:szCs w:val="28"/>
              </w:rPr>
            </w:pPr>
            <w:r>
              <w:rPr>
                <w:rFonts w:ascii="仿宋_GB2312" w:hAnsi="仿宋_GB2312" w:eastAsia="仿宋_GB2312" w:cs="仿宋_GB2312"/>
                <w:spacing w:val="-3"/>
                <w:kern w:val="0"/>
                <w:sz w:val="28"/>
                <w:szCs w:val="28"/>
              </w:rPr>
              <w:t>7.数采网关安全加固实施；</w:t>
            </w:r>
          </w:p>
          <w:p>
            <w:pPr>
              <w:rPr>
                <w:rFonts w:ascii="仿宋_GB2312" w:hAnsi="仿宋_GB2312" w:eastAsia="仿宋_GB2312" w:cs="仿宋_GB2312"/>
                <w:spacing w:val="-3"/>
                <w:kern w:val="0"/>
                <w:sz w:val="28"/>
                <w:szCs w:val="28"/>
              </w:rPr>
            </w:pPr>
            <w:r>
              <w:rPr>
                <w:rFonts w:ascii="仿宋_GB2312" w:hAnsi="仿宋_GB2312" w:eastAsia="仿宋_GB2312" w:cs="仿宋_GB2312"/>
                <w:spacing w:val="-3"/>
                <w:kern w:val="0"/>
                <w:sz w:val="28"/>
                <w:szCs w:val="28"/>
              </w:rPr>
              <w:t>8.摄像头安全加固实施</w:t>
            </w:r>
            <w:r>
              <w:rPr>
                <w:rFonts w:hint="eastAsia" w:ascii="仿宋_GB2312" w:hAnsi="仿宋_GB2312" w:eastAsia="仿宋_GB2312" w:cs="仿宋_GB2312"/>
                <w:spacing w:val="-3"/>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24" w:type="dxa"/>
            <w:vAlign w:val="center"/>
          </w:tcPr>
          <w:p>
            <w:pPr>
              <w:jc w:val="center"/>
              <w:rPr>
                <w:rFonts w:ascii="仿宋_GB2312" w:hAnsi="仿宋_GB2312" w:eastAsia="仿宋_GB2312" w:cs="仿宋_GB2312"/>
                <w:spacing w:val="-3"/>
                <w:kern w:val="0"/>
                <w:sz w:val="28"/>
                <w:szCs w:val="28"/>
              </w:rPr>
            </w:pPr>
            <w:r>
              <w:rPr>
                <w:rFonts w:hint="eastAsia" w:ascii="仿宋_GB2312" w:hAnsi="仿宋_GB2312" w:eastAsia="仿宋_GB2312" w:cs="仿宋_GB2312"/>
                <w:spacing w:val="-3"/>
                <w:kern w:val="0"/>
                <w:sz w:val="28"/>
                <w:szCs w:val="28"/>
              </w:rPr>
              <w:t>3</w:t>
            </w:r>
          </w:p>
        </w:tc>
        <w:tc>
          <w:tcPr>
            <w:tcW w:w="2785" w:type="dxa"/>
            <w:vAlign w:val="center"/>
          </w:tcPr>
          <w:p>
            <w:pPr>
              <w:jc w:val="center"/>
              <w:rPr>
                <w:rFonts w:ascii="仿宋_GB2312" w:hAnsi="仿宋_GB2312" w:eastAsia="仿宋_GB2312" w:cs="仿宋_GB2312"/>
                <w:spacing w:val="-3"/>
                <w:kern w:val="0"/>
                <w:sz w:val="28"/>
                <w:szCs w:val="28"/>
              </w:rPr>
            </w:pPr>
            <w:r>
              <w:rPr>
                <w:rFonts w:hint="eastAsia" w:ascii="仿宋_GB2312" w:hAnsi="仿宋_GB2312" w:eastAsia="仿宋_GB2312" w:cs="仿宋_GB2312"/>
                <w:spacing w:val="-3"/>
                <w:kern w:val="0"/>
                <w:sz w:val="28"/>
                <w:szCs w:val="28"/>
              </w:rPr>
              <w:t>业务安全评估评测</w:t>
            </w:r>
          </w:p>
        </w:tc>
        <w:tc>
          <w:tcPr>
            <w:tcW w:w="5351" w:type="dxa"/>
            <w:vAlign w:val="center"/>
          </w:tcPr>
          <w:p>
            <w:pPr>
              <w:rPr>
                <w:rFonts w:ascii="仿宋_GB2312" w:hAnsi="仿宋_GB2312" w:eastAsia="仿宋_GB2312" w:cs="仿宋_GB2312"/>
                <w:spacing w:val="-3"/>
                <w:kern w:val="0"/>
                <w:sz w:val="28"/>
                <w:szCs w:val="28"/>
              </w:rPr>
            </w:pPr>
            <w:r>
              <w:rPr>
                <w:rFonts w:hint="eastAsia" w:ascii="仿宋_GB2312" w:hAnsi="仿宋_GB2312" w:eastAsia="仿宋_GB2312" w:cs="仿宋_GB2312"/>
                <w:spacing w:val="-3"/>
                <w:kern w:val="0"/>
                <w:sz w:val="28"/>
                <w:szCs w:val="28"/>
              </w:rPr>
              <w:t>1.</w:t>
            </w:r>
            <w:r>
              <w:rPr>
                <w:rFonts w:ascii="仿宋_GB2312" w:hAnsi="仿宋_GB2312" w:eastAsia="仿宋_GB2312" w:cs="仿宋_GB2312"/>
                <w:spacing w:val="-3"/>
                <w:kern w:val="0"/>
                <w:sz w:val="28"/>
                <w:szCs w:val="28"/>
              </w:rPr>
              <w:t>安全配置基线核查；</w:t>
            </w:r>
          </w:p>
          <w:p>
            <w:pPr>
              <w:rPr>
                <w:rFonts w:ascii="仿宋_GB2312" w:hAnsi="仿宋_GB2312" w:eastAsia="仿宋_GB2312" w:cs="仿宋_GB2312"/>
                <w:spacing w:val="-3"/>
                <w:kern w:val="0"/>
                <w:sz w:val="28"/>
                <w:szCs w:val="28"/>
              </w:rPr>
            </w:pPr>
            <w:r>
              <w:rPr>
                <w:rFonts w:hint="eastAsia" w:ascii="仿宋_GB2312" w:hAnsi="仿宋_GB2312" w:eastAsia="仿宋_GB2312" w:cs="仿宋_GB2312"/>
                <w:spacing w:val="-3"/>
                <w:kern w:val="0"/>
                <w:sz w:val="28"/>
                <w:szCs w:val="28"/>
              </w:rPr>
              <w:t>2</w:t>
            </w:r>
            <w:r>
              <w:rPr>
                <w:rFonts w:ascii="仿宋_GB2312" w:hAnsi="仿宋_GB2312" w:eastAsia="仿宋_GB2312" w:cs="仿宋_GB2312"/>
                <w:spacing w:val="-3"/>
                <w:kern w:val="0"/>
                <w:sz w:val="28"/>
                <w:szCs w:val="28"/>
              </w:rPr>
              <w:t>.安全漏洞测试验证</w:t>
            </w:r>
            <w:r>
              <w:rPr>
                <w:rFonts w:hint="eastAsia" w:ascii="仿宋_GB2312" w:hAnsi="仿宋_GB2312" w:eastAsia="仿宋_GB2312" w:cs="仿宋_GB2312"/>
                <w:spacing w:val="-3"/>
                <w:kern w:val="0"/>
                <w:sz w:val="28"/>
                <w:szCs w:val="28"/>
              </w:rPr>
              <w:t>；</w:t>
            </w:r>
          </w:p>
          <w:p>
            <w:pPr>
              <w:rPr>
                <w:rFonts w:ascii="仿宋_GB2312" w:hAnsi="仿宋_GB2312" w:eastAsia="仿宋_GB2312" w:cs="仿宋_GB2312"/>
                <w:spacing w:val="-3"/>
                <w:kern w:val="0"/>
                <w:sz w:val="28"/>
                <w:szCs w:val="28"/>
              </w:rPr>
            </w:pPr>
            <w:r>
              <w:rPr>
                <w:rFonts w:hint="eastAsia" w:ascii="仿宋_GB2312" w:hAnsi="仿宋_GB2312" w:eastAsia="仿宋_GB2312" w:cs="仿宋_GB2312"/>
                <w:spacing w:val="-3"/>
                <w:kern w:val="0"/>
                <w:sz w:val="28"/>
                <w:szCs w:val="28"/>
              </w:rPr>
              <w:t>3</w:t>
            </w:r>
            <w:r>
              <w:rPr>
                <w:rFonts w:ascii="仿宋_GB2312" w:hAnsi="仿宋_GB2312" w:eastAsia="仿宋_GB2312" w:cs="仿宋_GB2312"/>
                <w:spacing w:val="-3"/>
                <w:kern w:val="0"/>
                <w:sz w:val="28"/>
                <w:szCs w:val="28"/>
              </w:rPr>
              <w:t>.</w:t>
            </w:r>
            <w:r>
              <w:rPr>
                <w:rFonts w:hint="eastAsia" w:ascii="仿宋_GB2312" w:hAnsi="仿宋_GB2312" w:eastAsia="仿宋_GB2312" w:cs="仿宋_GB2312"/>
                <w:spacing w:val="-3"/>
                <w:kern w:val="0"/>
                <w:sz w:val="28"/>
                <w:szCs w:val="28"/>
              </w:rPr>
              <w:t>代码安全审计。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24" w:type="dxa"/>
            <w:vAlign w:val="center"/>
          </w:tcPr>
          <w:p>
            <w:pPr>
              <w:jc w:val="center"/>
              <w:rPr>
                <w:rFonts w:ascii="仿宋_GB2312" w:hAnsi="仿宋_GB2312" w:eastAsia="仿宋_GB2312" w:cs="仿宋_GB2312"/>
                <w:spacing w:val="-3"/>
                <w:kern w:val="0"/>
                <w:sz w:val="28"/>
                <w:szCs w:val="28"/>
              </w:rPr>
            </w:pPr>
            <w:r>
              <w:rPr>
                <w:rFonts w:hint="eastAsia" w:ascii="仿宋_GB2312" w:hAnsi="仿宋_GB2312" w:eastAsia="仿宋_GB2312" w:cs="仿宋_GB2312"/>
                <w:spacing w:val="-3"/>
                <w:kern w:val="0"/>
                <w:sz w:val="28"/>
                <w:szCs w:val="28"/>
              </w:rPr>
              <w:t>4</w:t>
            </w:r>
          </w:p>
        </w:tc>
        <w:tc>
          <w:tcPr>
            <w:tcW w:w="2785" w:type="dxa"/>
            <w:vAlign w:val="center"/>
          </w:tcPr>
          <w:p>
            <w:pPr>
              <w:jc w:val="center"/>
              <w:rPr>
                <w:rFonts w:ascii="仿宋_GB2312" w:hAnsi="仿宋_GB2312" w:eastAsia="仿宋_GB2312" w:cs="仿宋_GB2312"/>
                <w:spacing w:val="-3"/>
                <w:kern w:val="0"/>
                <w:sz w:val="28"/>
                <w:szCs w:val="28"/>
              </w:rPr>
            </w:pPr>
            <w:r>
              <w:rPr>
                <w:rFonts w:hint="eastAsia" w:ascii="仿宋_GB2312" w:hAnsi="仿宋_GB2312" w:eastAsia="仿宋_GB2312" w:cs="仿宋_GB2312"/>
                <w:spacing w:val="-3"/>
                <w:kern w:val="0"/>
                <w:sz w:val="28"/>
                <w:szCs w:val="28"/>
              </w:rPr>
              <w:t>安全事件应急处置</w:t>
            </w:r>
          </w:p>
        </w:tc>
        <w:tc>
          <w:tcPr>
            <w:tcW w:w="5351" w:type="dxa"/>
            <w:vAlign w:val="center"/>
          </w:tcPr>
          <w:p>
            <w:pPr>
              <w:rPr>
                <w:rFonts w:ascii="仿宋_GB2312" w:hAnsi="仿宋_GB2312" w:eastAsia="仿宋_GB2312" w:cs="仿宋_GB2312"/>
                <w:spacing w:val="-3"/>
                <w:kern w:val="0"/>
                <w:sz w:val="28"/>
                <w:szCs w:val="28"/>
              </w:rPr>
            </w:pPr>
            <w:r>
              <w:rPr>
                <w:rFonts w:hint="eastAsia" w:ascii="仿宋_GB2312" w:hAnsi="仿宋_GB2312" w:eastAsia="仿宋_GB2312" w:cs="仿宋_GB2312"/>
                <w:spacing w:val="-3"/>
                <w:kern w:val="0"/>
                <w:sz w:val="28"/>
                <w:szCs w:val="28"/>
              </w:rPr>
              <w:t>1.</w:t>
            </w:r>
            <w:bookmarkStart w:id="0" w:name="_Hlk141869010"/>
            <w:r>
              <w:rPr>
                <w:rFonts w:ascii="仿宋_GB2312" w:hAnsi="仿宋_GB2312" w:eastAsia="仿宋_GB2312" w:cs="仿宋_GB2312"/>
                <w:spacing w:val="-3"/>
                <w:kern w:val="0"/>
                <w:sz w:val="28"/>
                <w:szCs w:val="28"/>
              </w:rPr>
              <w:t>有害程序事件应急处置；</w:t>
            </w:r>
          </w:p>
          <w:p>
            <w:pPr>
              <w:rPr>
                <w:rFonts w:ascii="仿宋_GB2312" w:hAnsi="仿宋_GB2312" w:eastAsia="仿宋_GB2312" w:cs="仿宋_GB2312"/>
                <w:spacing w:val="-3"/>
                <w:kern w:val="0"/>
                <w:sz w:val="28"/>
                <w:szCs w:val="28"/>
              </w:rPr>
            </w:pPr>
            <w:r>
              <w:rPr>
                <w:rFonts w:ascii="仿宋_GB2312" w:hAnsi="仿宋_GB2312" w:eastAsia="仿宋_GB2312" w:cs="仿宋_GB2312"/>
                <w:spacing w:val="-3"/>
                <w:kern w:val="0"/>
                <w:sz w:val="28"/>
                <w:szCs w:val="28"/>
              </w:rPr>
              <w:t>2.网络攻击事件应急处置；</w:t>
            </w:r>
          </w:p>
          <w:p>
            <w:pPr>
              <w:rPr>
                <w:rFonts w:ascii="仿宋_GB2312" w:hAnsi="仿宋_GB2312" w:eastAsia="仿宋_GB2312" w:cs="仿宋_GB2312"/>
                <w:spacing w:val="-3"/>
                <w:kern w:val="0"/>
                <w:sz w:val="28"/>
                <w:szCs w:val="28"/>
              </w:rPr>
            </w:pPr>
            <w:r>
              <w:rPr>
                <w:rFonts w:hint="eastAsia" w:ascii="仿宋_GB2312" w:hAnsi="仿宋_GB2312" w:eastAsia="仿宋_GB2312" w:cs="仿宋_GB2312"/>
                <w:spacing w:val="-3"/>
                <w:kern w:val="0"/>
                <w:sz w:val="28"/>
                <w:szCs w:val="28"/>
              </w:rPr>
              <w:t>3</w:t>
            </w:r>
            <w:r>
              <w:rPr>
                <w:rFonts w:ascii="仿宋_GB2312" w:hAnsi="仿宋_GB2312" w:eastAsia="仿宋_GB2312" w:cs="仿宋_GB2312"/>
                <w:spacing w:val="-3"/>
                <w:kern w:val="0"/>
                <w:sz w:val="28"/>
                <w:szCs w:val="28"/>
              </w:rPr>
              <w:t>.信息</w:t>
            </w:r>
            <w:r>
              <w:rPr>
                <w:rFonts w:hint="eastAsia" w:ascii="仿宋_GB2312" w:hAnsi="仿宋_GB2312" w:eastAsia="仿宋_GB2312" w:cs="仿宋_GB2312"/>
                <w:spacing w:val="-3"/>
                <w:kern w:val="0"/>
                <w:sz w:val="28"/>
                <w:szCs w:val="28"/>
              </w:rPr>
              <w:t>破坏事件应急处置</w:t>
            </w:r>
            <w:bookmarkEnd w:id="0"/>
            <w:r>
              <w:rPr>
                <w:rFonts w:hint="eastAsia" w:ascii="仿宋_GB2312" w:hAnsi="仿宋_GB2312" w:eastAsia="仿宋_GB2312" w:cs="仿宋_GB2312"/>
                <w:spacing w:val="-3"/>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24" w:type="dxa"/>
            <w:vAlign w:val="center"/>
          </w:tcPr>
          <w:p>
            <w:pPr>
              <w:jc w:val="center"/>
              <w:rPr>
                <w:rFonts w:ascii="仿宋_GB2312" w:hAnsi="仿宋_GB2312" w:eastAsia="仿宋_GB2312" w:cs="仿宋_GB2312"/>
                <w:spacing w:val="-3"/>
                <w:kern w:val="0"/>
                <w:sz w:val="28"/>
                <w:szCs w:val="28"/>
              </w:rPr>
            </w:pPr>
            <w:r>
              <w:rPr>
                <w:rFonts w:hint="eastAsia" w:ascii="仿宋_GB2312" w:hAnsi="仿宋_GB2312" w:eastAsia="仿宋_GB2312" w:cs="仿宋_GB2312"/>
                <w:spacing w:val="-3"/>
                <w:kern w:val="0"/>
                <w:sz w:val="28"/>
                <w:szCs w:val="28"/>
              </w:rPr>
              <w:t>5</w:t>
            </w:r>
          </w:p>
        </w:tc>
        <w:tc>
          <w:tcPr>
            <w:tcW w:w="2785" w:type="dxa"/>
            <w:vAlign w:val="center"/>
          </w:tcPr>
          <w:p>
            <w:pPr>
              <w:jc w:val="center"/>
              <w:rPr>
                <w:rFonts w:ascii="仿宋_GB2312" w:hAnsi="仿宋_GB2312" w:eastAsia="仿宋_GB2312" w:cs="仿宋_GB2312"/>
                <w:spacing w:val="-3"/>
                <w:kern w:val="0"/>
                <w:sz w:val="28"/>
                <w:szCs w:val="28"/>
              </w:rPr>
            </w:pPr>
            <w:r>
              <w:rPr>
                <w:rFonts w:hint="eastAsia" w:ascii="仿宋_GB2312" w:hAnsi="仿宋_GB2312" w:eastAsia="仿宋_GB2312" w:cs="仿宋_GB2312"/>
                <w:spacing w:val="-3"/>
                <w:kern w:val="0"/>
                <w:sz w:val="28"/>
                <w:szCs w:val="28"/>
              </w:rPr>
              <w:t>安全事件分析研判</w:t>
            </w:r>
          </w:p>
        </w:tc>
        <w:tc>
          <w:tcPr>
            <w:tcW w:w="5351" w:type="dxa"/>
            <w:vAlign w:val="center"/>
          </w:tcPr>
          <w:p>
            <w:pPr>
              <w:rPr>
                <w:rFonts w:ascii="仿宋_GB2312" w:hAnsi="仿宋_GB2312" w:eastAsia="仿宋_GB2312" w:cs="仿宋_GB2312"/>
                <w:spacing w:val="-3"/>
                <w:kern w:val="0"/>
                <w:sz w:val="28"/>
                <w:szCs w:val="28"/>
              </w:rPr>
            </w:pPr>
            <w:r>
              <w:rPr>
                <w:rFonts w:hint="eastAsia" w:ascii="仿宋_GB2312" w:hAnsi="仿宋_GB2312" w:eastAsia="仿宋_GB2312" w:cs="仿宋_GB2312"/>
                <w:spacing w:val="-3"/>
                <w:kern w:val="0"/>
                <w:sz w:val="28"/>
                <w:szCs w:val="28"/>
              </w:rPr>
              <w:t>1.</w:t>
            </w:r>
            <w:r>
              <w:rPr>
                <w:rFonts w:ascii="仿宋_GB2312" w:hAnsi="仿宋_GB2312" w:eastAsia="仿宋_GB2312" w:cs="仿宋_GB2312"/>
                <w:spacing w:val="-3"/>
                <w:kern w:val="0"/>
                <w:sz w:val="28"/>
                <w:szCs w:val="28"/>
              </w:rPr>
              <w:t>有害程序事件</w:t>
            </w:r>
            <w:r>
              <w:rPr>
                <w:rFonts w:hint="eastAsia" w:ascii="仿宋_GB2312" w:hAnsi="仿宋_GB2312" w:eastAsia="仿宋_GB2312" w:cs="仿宋_GB2312"/>
                <w:spacing w:val="-3"/>
                <w:kern w:val="0"/>
                <w:sz w:val="28"/>
                <w:szCs w:val="28"/>
              </w:rPr>
              <w:t>分析研判</w:t>
            </w:r>
            <w:r>
              <w:rPr>
                <w:rFonts w:ascii="仿宋_GB2312" w:hAnsi="仿宋_GB2312" w:eastAsia="仿宋_GB2312" w:cs="仿宋_GB2312"/>
                <w:spacing w:val="-3"/>
                <w:kern w:val="0"/>
                <w:sz w:val="28"/>
                <w:szCs w:val="28"/>
              </w:rPr>
              <w:t>；</w:t>
            </w:r>
          </w:p>
          <w:p>
            <w:pPr>
              <w:rPr>
                <w:rFonts w:ascii="仿宋_GB2312" w:hAnsi="仿宋_GB2312" w:eastAsia="仿宋_GB2312" w:cs="仿宋_GB2312"/>
                <w:spacing w:val="-3"/>
                <w:kern w:val="0"/>
                <w:sz w:val="28"/>
                <w:szCs w:val="28"/>
              </w:rPr>
            </w:pPr>
            <w:r>
              <w:rPr>
                <w:rFonts w:ascii="仿宋_GB2312" w:hAnsi="仿宋_GB2312" w:eastAsia="仿宋_GB2312" w:cs="仿宋_GB2312"/>
                <w:spacing w:val="-3"/>
                <w:kern w:val="0"/>
                <w:sz w:val="28"/>
                <w:szCs w:val="28"/>
              </w:rPr>
              <w:t>2.网络攻击事件</w:t>
            </w:r>
            <w:r>
              <w:rPr>
                <w:rFonts w:hint="eastAsia" w:ascii="仿宋_GB2312" w:hAnsi="仿宋_GB2312" w:eastAsia="仿宋_GB2312" w:cs="仿宋_GB2312"/>
                <w:spacing w:val="-3"/>
                <w:kern w:val="0"/>
                <w:sz w:val="28"/>
                <w:szCs w:val="28"/>
              </w:rPr>
              <w:t>分析研判</w:t>
            </w:r>
            <w:r>
              <w:rPr>
                <w:rFonts w:ascii="仿宋_GB2312" w:hAnsi="仿宋_GB2312" w:eastAsia="仿宋_GB2312" w:cs="仿宋_GB2312"/>
                <w:spacing w:val="-3"/>
                <w:kern w:val="0"/>
                <w:sz w:val="28"/>
                <w:szCs w:val="28"/>
              </w:rPr>
              <w:t>；</w:t>
            </w:r>
          </w:p>
          <w:p>
            <w:pPr>
              <w:rPr>
                <w:rFonts w:ascii="仿宋_GB2312" w:hAnsi="仿宋_GB2312" w:eastAsia="仿宋_GB2312" w:cs="仿宋_GB2312"/>
                <w:spacing w:val="-3"/>
                <w:kern w:val="0"/>
                <w:sz w:val="28"/>
                <w:szCs w:val="28"/>
              </w:rPr>
            </w:pPr>
            <w:r>
              <w:rPr>
                <w:rFonts w:hint="eastAsia" w:ascii="仿宋_GB2312" w:hAnsi="仿宋_GB2312" w:eastAsia="仿宋_GB2312" w:cs="仿宋_GB2312"/>
                <w:spacing w:val="-3"/>
                <w:kern w:val="0"/>
                <w:sz w:val="28"/>
                <w:szCs w:val="28"/>
              </w:rPr>
              <w:t>3</w:t>
            </w:r>
            <w:r>
              <w:rPr>
                <w:rFonts w:ascii="仿宋_GB2312" w:hAnsi="仿宋_GB2312" w:eastAsia="仿宋_GB2312" w:cs="仿宋_GB2312"/>
                <w:spacing w:val="-3"/>
                <w:kern w:val="0"/>
                <w:sz w:val="28"/>
                <w:szCs w:val="28"/>
              </w:rPr>
              <w:t>.信息</w:t>
            </w:r>
            <w:r>
              <w:rPr>
                <w:rFonts w:hint="eastAsia" w:ascii="仿宋_GB2312" w:hAnsi="仿宋_GB2312" w:eastAsia="仿宋_GB2312" w:cs="仿宋_GB2312"/>
                <w:spacing w:val="-3"/>
                <w:kern w:val="0"/>
                <w:sz w:val="28"/>
                <w:szCs w:val="28"/>
              </w:rPr>
              <w:t>破坏事件分析研判。</w:t>
            </w:r>
          </w:p>
        </w:tc>
      </w:tr>
    </w:tbl>
    <w:p>
      <w:pPr>
        <w:snapToGrid w:val="0"/>
        <w:spacing w:line="560" w:lineRule="exact"/>
        <w:ind w:firstLine="640" w:firstLineChars="200"/>
        <w:rPr>
          <w:rFonts w:eastAsia="仿宋_GB2312"/>
          <w:kern w:val="44"/>
          <w:sz w:val="32"/>
          <w:szCs w:val="32"/>
          <w:lang w:eastAsia="zh-Hans"/>
        </w:rPr>
      </w:pPr>
      <w:r>
        <w:rPr>
          <w:rFonts w:eastAsia="仿宋_GB2312"/>
          <w:kern w:val="44"/>
          <w:sz w:val="32"/>
          <w:szCs w:val="32"/>
          <w:lang w:eastAsia="zh-Hans"/>
        </w:rPr>
        <w:t>实践操作部分由参赛选手按工作任务书的要求完成面向集成电路制造行业工业互联网典型业务场景的网络架构安全设计、业务安全加固实施、业务安全评估评测、安全事件应急处置、安全事件分析研判等工作，具体包含以下工作任务：</w:t>
      </w:r>
    </w:p>
    <w:p>
      <w:pPr>
        <w:snapToGrid w:val="0"/>
        <w:spacing w:line="560" w:lineRule="exact"/>
        <w:ind w:firstLine="640" w:firstLineChars="200"/>
        <w:rPr>
          <w:rFonts w:hint="eastAsia" w:eastAsia="仿宋_GB2312"/>
          <w:kern w:val="44"/>
          <w:sz w:val="32"/>
          <w:szCs w:val="32"/>
          <w:lang w:eastAsia="zh-Hans"/>
        </w:rPr>
      </w:pPr>
      <w:r>
        <w:rPr>
          <w:rFonts w:eastAsia="仿宋_GB2312"/>
          <w:kern w:val="44"/>
          <w:sz w:val="32"/>
          <w:szCs w:val="32"/>
          <w:lang w:eastAsia="zh-Hans"/>
        </w:rPr>
        <w:t>（1）网络架构安全设计</w:t>
      </w:r>
    </w:p>
    <w:p>
      <w:pPr>
        <w:snapToGrid w:val="0"/>
        <w:spacing w:line="560" w:lineRule="exact"/>
        <w:ind w:firstLine="640" w:firstLineChars="200"/>
        <w:rPr>
          <w:rFonts w:hint="eastAsia" w:eastAsia="仿宋_GB2312"/>
          <w:kern w:val="44"/>
          <w:sz w:val="32"/>
          <w:szCs w:val="32"/>
          <w:lang w:eastAsia="zh-Hans"/>
        </w:rPr>
      </w:pPr>
      <w:r>
        <w:rPr>
          <w:rFonts w:eastAsia="仿宋_GB2312"/>
          <w:kern w:val="44"/>
          <w:sz w:val="32"/>
          <w:szCs w:val="32"/>
          <w:lang w:eastAsia="zh-Hans"/>
        </w:rPr>
        <w:t>根据任务书给定的任务要求，选手进行任务分析，完成网络拓扑构建，并对竞赛平台中的网络设备与安全设备进行配置，并提交相应结果。</w:t>
      </w:r>
    </w:p>
    <w:p>
      <w:pPr>
        <w:snapToGrid w:val="0"/>
        <w:spacing w:line="560" w:lineRule="exact"/>
        <w:ind w:firstLine="640" w:firstLineChars="200"/>
        <w:rPr>
          <w:rFonts w:hint="eastAsia" w:eastAsia="仿宋_GB2312"/>
          <w:kern w:val="44"/>
          <w:sz w:val="32"/>
          <w:szCs w:val="32"/>
          <w:lang w:eastAsia="zh-Hans"/>
        </w:rPr>
      </w:pPr>
      <w:r>
        <w:rPr>
          <w:rFonts w:eastAsia="仿宋_GB2312"/>
          <w:kern w:val="44"/>
          <w:sz w:val="32"/>
          <w:szCs w:val="32"/>
          <w:lang w:eastAsia="zh-Hans"/>
        </w:rPr>
        <w:t>（2）业务安全加固实施</w:t>
      </w:r>
    </w:p>
    <w:p>
      <w:pPr>
        <w:snapToGrid w:val="0"/>
        <w:spacing w:line="560" w:lineRule="exact"/>
        <w:ind w:firstLine="640" w:firstLineChars="200"/>
        <w:rPr>
          <w:rFonts w:hint="eastAsia" w:eastAsia="仿宋_GB2312"/>
          <w:kern w:val="44"/>
          <w:sz w:val="32"/>
          <w:szCs w:val="32"/>
          <w:lang w:eastAsia="zh-Hans"/>
        </w:rPr>
      </w:pPr>
      <w:r>
        <w:rPr>
          <w:rFonts w:eastAsia="仿宋_GB2312"/>
          <w:kern w:val="44"/>
          <w:sz w:val="32"/>
          <w:szCs w:val="32"/>
          <w:lang w:eastAsia="zh-Hans"/>
        </w:rPr>
        <w:t>根据任务书给定的任务要求，选手进行任务分析，完成对于工业互联网平台、MES、SCADA、HMI、PLC、交换机、数采网关、摄像头等的加固工作，并提交相应结果。</w:t>
      </w:r>
    </w:p>
    <w:p>
      <w:pPr>
        <w:snapToGrid w:val="0"/>
        <w:spacing w:line="560" w:lineRule="exact"/>
        <w:ind w:firstLine="640" w:firstLineChars="200"/>
        <w:rPr>
          <w:rFonts w:hint="eastAsia" w:eastAsia="仿宋_GB2312"/>
          <w:kern w:val="44"/>
          <w:sz w:val="32"/>
          <w:szCs w:val="32"/>
          <w:lang w:eastAsia="zh-Hans"/>
        </w:rPr>
      </w:pPr>
      <w:r>
        <w:rPr>
          <w:rFonts w:eastAsia="仿宋_GB2312"/>
          <w:kern w:val="44"/>
          <w:sz w:val="32"/>
          <w:szCs w:val="32"/>
          <w:lang w:eastAsia="zh-Hans"/>
        </w:rPr>
        <w:t>（3）业务安全评估评测</w:t>
      </w:r>
    </w:p>
    <w:p>
      <w:pPr>
        <w:snapToGrid w:val="0"/>
        <w:spacing w:line="560" w:lineRule="exact"/>
        <w:ind w:firstLine="640" w:firstLineChars="200"/>
        <w:rPr>
          <w:rFonts w:hint="eastAsia" w:eastAsia="仿宋_GB2312"/>
          <w:kern w:val="44"/>
          <w:sz w:val="32"/>
          <w:szCs w:val="32"/>
          <w:lang w:eastAsia="zh-Hans"/>
        </w:rPr>
      </w:pPr>
      <w:r>
        <w:rPr>
          <w:rFonts w:eastAsia="仿宋_GB2312"/>
          <w:kern w:val="44"/>
          <w:sz w:val="32"/>
          <w:szCs w:val="32"/>
          <w:lang w:eastAsia="zh-Hans"/>
        </w:rPr>
        <w:t>根据任务书给定的任务要求，选手进行任务分析，对竞赛平台内的各系统或设备进行安全配置基线核查、安全漏洞测试验证以及代码安全审计，并提交相应结果。</w:t>
      </w:r>
    </w:p>
    <w:p>
      <w:pPr>
        <w:snapToGrid w:val="0"/>
        <w:spacing w:line="560" w:lineRule="exact"/>
        <w:ind w:firstLine="640" w:firstLineChars="200"/>
        <w:rPr>
          <w:rFonts w:hint="eastAsia" w:eastAsia="仿宋_GB2312"/>
          <w:kern w:val="44"/>
          <w:sz w:val="32"/>
          <w:szCs w:val="32"/>
          <w:lang w:eastAsia="zh-Hans"/>
        </w:rPr>
      </w:pPr>
      <w:r>
        <w:rPr>
          <w:rFonts w:eastAsia="仿宋_GB2312"/>
          <w:kern w:val="44"/>
          <w:sz w:val="32"/>
          <w:szCs w:val="32"/>
          <w:lang w:eastAsia="zh-Hans"/>
        </w:rPr>
        <w:t>（4）安全事件应急处置</w:t>
      </w:r>
    </w:p>
    <w:p>
      <w:pPr>
        <w:snapToGrid w:val="0"/>
        <w:spacing w:line="560" w:lineRule="exact"/>
        <w:ind w:firstLine="640" w:firstLineChars="200"/>
        <w:rPr>
          <w:rFonts w:hint="eastAsia" w:eastAsia="仿宋_GB2312"/>
          <w:kern w:val="44"/>
          <w:sz w:val="32"/>
          <w:szCs w:val="32"/>
          <w:lang w:eastAsia="zh-Hans"/>
        </w:rPr>
      </w:pPr>
      <w:r>
        <w:rPr>
          <w:rFonts w:eastAsia="仿宋_GB2312"/>
          <w:kern w:val="44"/>
          <w:sz w:val="32"/>
          <w:szCs w:val="32"/>
          <w:lang w:eastAsia="zh-Hans"/>
        </w:rPr>
        <w:t>根据任务书给定的任务要求，选手进行任务分析，对竞赛平台内出现的有害程序事件、网络攻击事件、信息破坏事件等进行应急处置，并提交相应结果。</w:t>
      </w:r>
    </w:p>
    <w:p>
      <w:pPr>
        <w:snapToGrid w:val="0"/>
        <w:spacing w:line="560" w:lineRule="exact"/>
        <w:ind w:firstLine="640" w:firstLineChars="200"/>
        <w:rPr>
          <w:rFonts w:hint="eastAsia" w:eastAsia="仿宋_GB2312"/>
          <w:kern w:val="44"/>
          <w:sz w:val="32"/>
          <w:szCs w:val="32"/>
          <w:lang w:eastAsia="zh-Hans"/>
        </w:rPr>
      </w:pPr>
      <w:r>
        <w:rPr>
          <w:rFonts w:eastAsia="仿宋_GB2312"/>
          <w:kern w:val="44"/>
          <w:sz w:val="32"/>
          <w:szCs w:val="32"/>
          <w:lang w:eastAsia="zh-Hans"/>
        </w:rPr>
        <w:t>（5）安全事件分析研判</w:t>
      </w:r>
    </w:p>
    <w:p>
      <w:pPr>
        <w:snapToGrid w:val="0"/>
        <w:spacing w:line="560" w:lineRule="exact"/>
        <w:ind w:firstLine="640" w:firstLineChars="200"/>
        <w:rPr>
          <w:rFonts w:hint="eastAsia" w:eastAsia="仿宋_GB2312"/>
          <w:kern w:val="44"/>
          <w:sz w:val="32"/>
          <w:szCs w:val="32"/>
          <w:lang w:eastAsia="zh-Hans"/>
        </w:rPr>
      </w:pPr>
      <w:r>
        <w:rPr>
          <w:rFonts w:eastAsia="仿宋_GB2312"/>
          <w:kern w:val="44"/>
          <w:sz w:val="32"/>
          <w:szCs w:val="32"/>
          <w:lang w:eastAsia="zh-Hans"/>
        </w:rPr>
        <w:t>根据任务书给定的任务要求，选手进行任务分析，对竞赛平台内出现的有害程序事件、网络攻击事件、信息破坏事件等进行分析研判，并提交相应结果。</w:t>
      </w:r>
    </w:p>
    <w:p>
      <w:pPr>
        <w:snapToGrid w:val="0"/>
        <w:spacing w:line="560" w:lineRule="exact"/>
        <w:ind w:firstLine="640" w:firstLineChars="200"/>
        <w:rPr>
          <w:rFonts w:hint="eastAsia" w:eastAsia="仿宋_GB2312"/>
          <w:kern w:val="44"/>
          <w:sz w:val="32"/>
          <w:szCs w:val="32"/>
          <w:lang w:eastAsia="zh-Hans"/>
        </w:rPr>
      </w:pPr>
      <w:r>
        <w:rPr>
          <w:rFonts w:eastAsia="仿宋_GB2312"/>
          <w:kern w:val="44"/>
          <w:sz w:val="32"/>
          <w:szCs w:val="32"/>
          <w:lang w:eastAsia="zh-Hans"/>
        </w:rPr>
        <w:t>2.比赛时间</w:t>
      </w:r>
    </w:p>
    <w:p>
      <w:pPr>
        <w:snapToGrid w:val="0"/>
        <w:spacing w:line="560" w:lineRule="exact"/>
        <w:ind w:firstLine="640" w:firstLineChars="200"/>
        <w:rPr>
          <w:rFonts w:eastAsia="仿宋_GB2312"/>
          <w:kern w:val="44"/>
          <w:sz w:val="32"/>
          <w:szCs w:val="32"/>
          <w:lang w:eastAsia="zh-Hans"/>
        </w:rPr>
      </w:pPr>
      <w:r>
        <w:rPr>
          <w:rFonts w:eastAsia="仿宋_GB2312"/>
          <w:kern w:val="44"/>
          <w:sz w:val="32"/>
          <w:szCs w:val="32"/>
          <w:lang w:eastAsia="zh-Hans"/>
        </w:rPr>
        <w:t>实际操作比赛时间为3小时。</w:t>
      </w:r>
    </w:p>
    <w:p>
      <w:pPr>
        <w:snapToGrid w:val="0"/>
        <w:spacing w:line="560" w:lineRule="exact"/>
        <w:ind w:firstLine="640" w:firstLineChars="200"/>
        <w:rPr>
          <w:rFonts w:eastAsia="仿宋_GB2312"/>
          <w:kern w:val="44"/>
          <w:sz w:val="32"/>
          <w:szCs w:val="32"/>
          <w:lang w:eastAsia="zh-Hans"/>
        </w:rPr>
      </w:pPr>
      <w:r>
        <w:rPr>
          <w:rFonts w:eastAsia="仿宋_GB2312"/>
          <w:kern w:val="44"/>
          <w:sz w:val="32"/>
          <w:szCs w:val="32"/>
          <w:lang w:eastAsia="zh-Hans"/>
        </w:rPr>
        <w:t>3.命题方式</w:t>
      </w:r>
    </w:p>
    <w:p>
      <w:pPr>
        <w:snapToGrid w:val="0"/>
        <w:spacing w:line="560" w:lineRule="exact"/>
        <w:ind w:firstLine="640" w:firstLineChars="200"/>
        <w:rPr>
          <w:rFonts w:eastAsia="仿宋_GB2312"/>
          <w:kern w:val="44"/>
          <w:sz w:val="32"/>
          <w:szCs w:val="32"/>
          <w:lang w:eastAsia="zh-Hans"/>
        </w:rPr>
      </w:pPr>
      <w:r>
        <w:rPr>
          <w:rFonts w:eastAsia="仿宋_GB2312"/>
          <w:kern w:val="44"/>
          <w:sz w:val="32"/>
          <w:szCs w:val="32"/>
          <w:lang w:eastAsia="zh-Hans"/>
        </w:rPr>
        <w:t>由大赛组委会组织专家组统一命题。</w:t>
      </w:r>
    </w:p>
    <w:p>
      <w:pPr>
        <w:pStyle w:val="3"/>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六、大赛场地与设施</w:t>
      </w:r>
    </w:p>
    <w:p>
      <w:pPr>
        <w:pStyle w:val="3"/>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（一）大赛场地</w:t>
      </w:r>
    </w:p>
    <w:p>
      <w:pPr>
        <w:snapToGrid w:val="0"/>
        <w:spacing w:line="560" w:lineRule="exact"/>
        <w:ind w:firstLine="640" w:firstLineChars="200"/>
        <w:rPr>
          <w:rFonts w:hint="eastAsia" w:eastAsia="仿宋_GB2312"/>
          <w:kern w:val="44"/>
          <w:sz w:val="32"/>
          <w:szCs w:val="32"/>
          <w:lang w:eastAsia="zh-Hans"/>
        </w:rPr>
      </w:pPr>
      <w:r>
        <w:rPr>
          <w:rFonts w:eastAsia="仿宋_GB2312"/>
          <w:kern w:val="44"/>
          <w:sz w:val="32"/>
          <w:szCs w:val="32"/>
          <w:lang w:eastAsia="zh-Hans"/>
        </w:rPr>
        <w:t>1.大赛工位：每个工位占地16～20m</w:t>
      </w:r>
      <w:r>
        <w:rPr>
          <w:rFonts w:hint="eastAsia" w:eastAsia="仿宋_GB2312"/>
          <w:kern w:val="44"/>
          <w:sz w:val="32"/>
          <w:szCs w:val="32"/>
          <w:lang w:eastAsia="zh-Hans"/>
        </w:rPr>
        <w:t>²</w:t>
      </w:r>
      <w:r>
        <w:rPr>
          <w:rFonts w:eastAsia="仿宋_GB2312"/>
          <w:kern w:val="44"/>
          <w:sz w:val="32"/>
          <w:szCs w:val="32"/>
          <w:lang w:eastAsia="zh-Hans"/>
        </w:rPr>
        <w:t>，标明工位号，并配备大赛平台1套、台式电脑1台、桌椅3套。</w:t>
      </w:r>
    </w:p>
    <w:p>
      <w:pPr>
        <w:snapToGrid w:val="0"/>
        <w:spacing w:line="560" w:lineRule="exact"/>
        <w:ind w:firstLine="640" w:firstLineChars="200"/>
        <w:rPr>
          <w:rFonts w:hint="eastAsia" w:eastAsia="仿宋_GB2312"/>
          <w:kern w:val="44"/>
          <w:sz w:val="32"/>
          <w:szCs w:val="32"/>
          <w:lang w:eastAsia="zh-Hans"/>
        </w:rPr>
      </w:pPr>
      <w:r>
        <w:rPr>
          <w:rFonts w:eastAsia="仿宋_GB2312"/>
          <w:kern w:val="44"/>
          <w:sz w:val="32"/>
          <w:szCs w:val="32"/>
          <w:lang w:eastAsia="zh-Hans"/>
        </w:rPr>
        <w:t>2.赛场每工位提供独立控制并带有漏电保护装置的220V单相三线交流电源，供电系统有必要的安全保护措施。</w:t>
      </w:r>
    </w:p>
    <w:p>
      <w:pPr>
        <w:snapToGrid w:val="0"/>
        <w:spacing w:line="560" w:lineRule="exact"/>
        <w:ind w:firstLine="640" w:firstLineChars="200"/>
        <w:rPr>
          <w:rFonts w:hint="eastAsia" w:eastAsia="仿宋_GB2312"/>
          <w:kern w:val="44"/>
          <w:sz w:val="32"/>
          <w:szCs w:val="32"/>
          <w:lang w:eastAsia="zh-Hans"/>
        </w:rPr>
      </w:pPr>
      <w:r>
        <w:rPr>
          <w:rFonts w:eastAsia="仿宋_GB2312"/>
          <w:kern w:val="44"/>
          <w:sz w:val="32"/>
          <w:szCs w:val="32"/>
          <w:lang w:eastAsia="zh-Hans"/>
        </w:rPr>
        <w:t>3.场地参考布局如图1所示。</w:t>
      </w:r>
    </w:p>
    <w:p>
      <w:pPr>
        <w:spacing w:before="272" w:line="369" w:lineRule="auto"/>
        <w:ind w:right="86"/>
        <w:jc w:val="center"/>
        <w:rPr>
          <w:rFonts w:ascii="仿宋_GB2312" w:hAnsi="仿宋_GB2312" w:eastAsia="仿宋_GB2312" w:cs="仿宋_GB2312"/>
          <w:spacing w:val="-3"/>
          <w:sz w:val="28"/>
          <w:szCs w:val="28"/>
        </w:rPr>
      </w:pPr>
      <w:r>
        <w:rPr>
          <w:rFonts w:ascii="仿宋_GB2312" w:hAnsi="仿宋_GB2312" w:eastAsia="仿宋_GB2312" w:cs="仿宋_GB2312"/>
          <w:spacing w:val="-3"/>
          <w:sz w:val="28"/>
          <w:szCs w:val="28"/>
        </w:rPr>
        <w:drawing>
          <wp:inline distT="0" distB="0" distL="114300" distR="114300">
            <wp:extent cx="4603750" cy="2111375"/>
            <wp:effectExtent l="0" t="0" r="6350" b="317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4"/>
                    <a:stretch>
                      <a:fillRect/>
                    </a:stretch>
                  </pic:blipFill>
                  <pic:spPr>
                    <a:xfrm>
                      <a:off x="0" y="0"/>
                      <a:ext cx="4603750" cy="2111375"/>
                    </a:xfrm>
                    <a:prstGeom prst="rect">
                      <a:avLst/>
                    </a:prstGeom>
                    <a:noFill/>
                    <a:ln w="9525">
                      <a:noFill/>
                    </a:ln>
                  </pic:spPr>
                </pic:pic>
              </a:graphicData>
            </a:graphic>
          </wp:inline>
        </w:drawing>
      </w:r>
    </w:p>
    <w:p>
      <w:pPr>
        <w:spacing w:line="560" w:lineRule="exact"/>
        <w:ind w:left="3346"/>
        <w:jc w:val="left"/>
        <w:rPr>
          <w:rFonts w:eastAsia="仿宋_GB2312"/>
          <w:snapToGrid w:val="0"/>
          <w:color w:val="000000"/>
          <w:kern w:val="0"/>
          <w:sz w:val="28"/>
          <w:szCs w:val="28"/>
        </w:rPr>
      </w:pPr>
      <w:r>
        <w:rPr>
          <w:rFonts w:eastAsia="仿宋_GB2312"/>
          <w:snapToGrid w:val="0"/>
          <w:color w:val="000000"/>
          <w:kern w:val="0"/>
          <w:sz w:val="28"/>
          <w:szCs w:val="28"/>
        </w:rPr>
        <w:t>图1 单工位场地参考布局图</w:t>
      </w:r>
    </w:p>
    <w:p>
      <w:pPr>
        <w:pStyle w:val="3"/>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（二）大赛设施</w:t>
      </w:r>
    </w:p>
    <w:p>
      <w:pPr>
        <w:snapToGrid w:val="0"/>
        <w:spacing w:line="560" w:lineRule="exact"/>
        <w:ind w:firstLine="640" w:firstLineChars="200"/>
        <w:rPr>
          <w:rFonts w:eastAsia="仿宋_GB2312"/>
          <w:kern w:val="44"/>
          <w:sz w:val="32"/>
          <w:szCs w:val="32"/>
          <w:lang w:eastAsia="zh-Hans"/>
        </w:rPr>
      </w:pPr>
      <w:r>
        <w:rPr>
          <w:rFonts w:eastAsia="仿宋_GB2312"/>
          <w:kern w:val="44"/>
          <w:sz w:val="32"/>
          <w:szCs w:val="32"/>
          <w:lang w:eastAsia="zh-Hans"/>
        </w:rPr>
        <w:t>1.大赛平台（详见技术文件第十条）</w:t>
      </w:r>
    </w:p>
    <w:p>
      <w:pPr>
        <w:snapToGrid w:val="0"/>
        <w:spacing w:line="560" w:lineRule="exact"/>
        <w:ind w:firstLine="640" w:firstLineChars="200"/>
        <w:rPr>
          <w:rFonts w:eastAsia="仿宋_GB2312"/>
          <w:kern w:val="44"/>
          <w:sz w:val="32"/>
          <w:szCs w:val="32"/>
          <w:lang w:eastAsia="zh-Hans"/>
        </w:rPr>
      </w:pPr>
      <w:r>
        <w:rPr>
          <w:rFonts w:eastAsia="仿宋_GB2312"/>
          <w:kern w:val="44"/>
          <w:sz w:val="32"/>
          <w:szCs w:val="32"/>
          <w:lang w:eastAsia="zh-Hans"/>
        </w:rPr>
        <w:t>大赛平台（由中国信息通信研究院提供），由工业互联网平台、MES、SCADA、HMI、PLC、数采网关、工业组件、交换机、工业防火墙、工业日志审计、智能摄像头、外接模拟场景等组成。</w:t>
      </w:r>
    </w:p>
    <w:p>
      <w:pPr>
        <w:snapToGrid w:val="0"/>
        <w:spacing w:line="560" w:lineRule="exact"/>
        <w:ind w:firstLine="640" w:firstLineChars="200"/>
        <w:rPr>
          <w:rFonts w:eastAsia="仿宋_GB2312"/>
          <w:kern w:val="44"/>
          <w:sz w:val="32"/>
          <w:szCs w:val="32"/>
          <w:lang w:eastAsia="zh-Hans"/>
        </w:rPr>
      </w:pPr>
      <w:r>
        <w:rPr>
          <w:rFonts w:eastAsia="仿宋_GB2312"/>
          <w:kern w:val="44"/>
          <w:sz w:val="32"/>
          <w:szCs w:val="32"/>
          <w:lang w:eastAsia="zh-Hans"/>
        </w:rPr>
        <w:t>2.耗材</w:t>
      </w:r>
    </w:p>
    <w:p>
      <w:pPr>
        <w:snapToGrid w:val="0"/>
        <w:spacing w:line="560" w:lineRule="exact"/>
        <w:ind w:firstLine="640" w:firstLineChars="200"/>
        <w:rPr>
          <w:rFonts w:eastAsia="仿宋_GB2312"/>
          <w:kern w:val="44"/>
          <w:sz w:val="32"/>
          <w:szCs w:val="32"/>
          <w:lang w:eastAsia="zh-Hans"/>
        </w:rPr>
      </w:pPr>
      <w:r>
        <w:rPr>
          <w:rFonts w:eastAsia="仿宋_GB2312"/>
          <w:kern w:val="44"/>
          <w:sz w:val="32"/>
          <w:szCs w:val="32"/>
          <w:lang w:eastAsia="zh-Hans"/>
        </w:rPr>
        <w:t>根据大赛需要，赛场提供耗材见表2。</w:t>
      </w:r>
    </w:p>
    <w:p>
      <w:pPr>
        <w:spacing w:line="560" w:lineRule="exact"/>
        <w:ind w:left="3346"/>
        <w:jc w:val="left"/>
        <w:rPr>
          <w:rFonts w:eastAsia="仿宋_GB2312"/>
          <w:snapToGrid w:val="0"/>
          <w:color w:val="000000"/>
          <w:kern w:val="0"/>
          <w:sz w:val="28"/>
          <w:szCs w:val="28"/>
        </w:rPr>
      </w:pPr>
      <w:r>
        <w:rPr>
          <w:rFonts w:eastAsia="仿宋_GB2312"/>
          <w:snapToGrid w:val="0"/>
          <w:color w:val="000000"/>
          <w:kern w:val="0"/>
          <w:sz w:val="28"/>
          <w:szCs w:val="28"/>
        </w:rPr>
        <w:t>表2 赛场提供耗材</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2545"/>
        <w:gridCol w:w="3028"/>
        <w:gridCol w:w="1547"/>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9" w:type="dxa"/>
            <w:vAlign w:val="center"/>
          </w:tcPr>
          <w:p>
            <w:pPr>
              <w:jc w:val="center"/>
              <w:rPr>
                <w:rFonts w:ascii="仿宋_GB2312" w:hAnsi="仿宋_GB2312" w:eastAsia="仿宋_GB2312" w:cs="仿宋_GB2312"/>
                <w:spacing w:val="-3"/>
                <w:kern w:val="0"/>
                <w:sz w:val="28"/>
                <w:szCs w:val="28"/>
              </w:rPr>
            </w:pPr>
            <w:r>
              <w:rPr>
                <w:rFonts w:hint="eastAsia" w:ascii="仿宋_GB2312" w:hAnsi="仿宋_GB2312" w:eastAsia="仿宋_GB2312" w:cs="仿宋_GB2312"/>
                <w:spacing w:val="-3"/>
                <w:kern w:val="0"/>
                <w:sz w:val="28"/>
                <w:szCs w:val="28"/>
              </w:rPr>
              <w:t>序号</w:t>
            </w:r>
          </w:p>
        </w:tc>
        <w:tc>
          <w:tcPr>
            <w:tcW w:w="2545" w:type="dxa"/>
            <w:vAlign w:val="center"/>
          </w:tcPr>
          <w:p>
            <w:pPr>
              <w:jc w:val="center"/>
              <w:rPr>
                <w:rFonts w:ascii="仿宋_GB2312" w:hAnsi="仿宋_GB2312" w:eastAsia="仿宋_GB2312" w:cs="仿宋_GB2312"/>
                <w:spacing w:val="-3"/>
                <w:kern w:val="0"/>
                <w:sz w:val="28"/>
                <w:szCs w:val="28"/>
              </w:rPr>
            </w:pPr>
            <w:r>
              <w:rPr>
                <w:rFonts w:hint="eastAsia" w:ascii="仿宋_GB2312" w:hAnsi="仿宋_GB2312" w:eastAsia="仿宋_GB2312" w:cs="仿宋_GB2312"/>
                <w:spacing w:val="-3"/>
                <w:kern w:val="0"/>
                <w:sz w:val="28"/>
                <w:szCs w:val="28"/>
              </w:rPr>
              <w:t>名称</w:t>
            </w:r>
          </w:p>
        </w:tc>
        <w:tc>
          <w:tcPr>
            <w:tcW w:w="3028" w:type="dxa"/>
            <w:vAlign w:val="center"/>
          </w:tcPr>
          <w:p>
            <w:pPr>
              <w:jc w:val="center"/>
              <w:rPr>
                <w:rFonts w:ascii="仿宋_GB2312" w:hAnsi="仿宋_GB2312" w:eastAsia="仿宋_GB2312" w:cs="仿宋_GB2312"/>
                <w:spacing w:val="-3"/>
                <w:kern w:val="0"/>
                <w:sz w:val="28"/>
                <w:szCs w:val="28"/>
              </w:rPr>
            </w:pPr>
            <w:r>
              <w:rPr>
                <w:rFonts w:hint="eastAsia" w:ascii="仿宋_GB2312" w:hAnsi="仿宋_GB2312" w:eastAsia="仿宋_GB2312" w:cs="仿宋_GB2312"/>
                <w:spacing w:val="-3"/>
                <w:kern w:val="0"/>
                <w:sz w:val="28"/>
                <w:szCs w:val="28"/>
              </w:rPr>
              <w:t>说明</w:t>
            </w:r>
          </w:p>
        </w:tc>
        <w:tc>
          <w:tcPr>
            <w:tcW w:w="1547" w:type="dxa"/>
            <w:vAlign w:val="center"/>
          </w:tcPr>
          <w:p>
            <w:pPr>
              <w:jc w:val="center"/>
              <w:rPr>
                <w:rFonts w:ascii="仿宋_GB2312" w:hAnsi="仿宋_GB2312" w:eastAsia="仿宋_GB2312" w:cs="仿宋_GB2312"/>
                <w:spacing w:val="-3"/>
                <w:kern w:val="0"/>
                <w:sz w:val="28"/>
                <w:szCs w:val="28"/>
              </w:rPr>
            </w:pPr>
            <w:r>
              <w:rPr>
                <w:rFonts w:hint="eastAsia" w:ascii="仿宋_GB2312" w:hAnsi="仿宋_GB2312" w:eastAsia="仿宋_GB2312" w:cs="仿宋_GB2312"/>
                <w:spacing w:val="-3"/>
                <w:kern w:val="0"/>
                <w:sz w:val="28"/>
                <w:szCs w:val="28"/>
              </w:rPr>
              <w:t>数量</w:t>
            </w:r>
          </w:p>
        </w:tc>
        <w:tc>
          <w:tcPr>
            <w:tcW w:w="861" w:type="dxa"/>
            <w:vAlign w:val="center"/>
          </w:tcPr>
          <w:p>
            <w:pPr>
              <w:jc w:val="center"/>
              <w:rPr>
                <w:rFonts w:ascii="仿宋_GB2312" w:hAnsi="仿宋_GB2312" w:eastAsia="仿宋_GB2312" w:cs="仿宋_GB2312"/>
                <w:spacing w:val="-3"/>
                <w:kern w:val="0"/>
                <w:sz w:val="28"/>
                <w:szCs w:val="28"/>
              </w:rPr>
            </w:pPr>
            <w:r>
              <w:rPr>
                <w:rFonts w:hint="eastAsia" w:ascii="仿宋_GB2312" w:hAnsi="仿宋_GB2312" w:eastAsia="仿宋_GB2312" w:cs="仿宋_GB2312"/>
                <w:spacing w:val="-3"/>
                <w:kern w:val="0"/>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9" w:type="dxa"/>
            <w:vAlign w:val="center"/>
          </w:tcPr>
          <w:p>
            <w:pPr>
              <w:jc w:val="center"/>
              <w:rPr>
                <w:rFonts w:ascii="仿宋_GB2312" w:hAnsi="仿宋_GB2312" w:eastAsia="仿宋_GB2312" w:cs="仿宋_GB2312"/>
                <w:spacing w:val="-3"/>
                <w:kern w:val="0"/>
                <w:sz w:val="28"/>
                <w:szCs w:val="28"/>
              </w:rPr>
            </w:pPr>
            <w:r>
              <w:rPr>
                <w:rFonts w:hint="eastAsia" w:ascii="仿宋_GB2312" w:hAnsi="仿宋_GB2312" w:eastAsia="仿宋_GB2312" w:cs="仿宋_GB2312"/>
                <w:spacing w:val="-3"/>
                <w:kern w:val="0"/>
                <w:sz w:val="28"/>
                <w:szCs w:val="28"/>
              </w:rPr>
              <w:t>1</w:t>
            </w:r>
          </w:p>
        </w:tc>
        <w:tc>
          <w:tcPr>
            <w:tcW w:w="2545" w:type="dxa"/>
            <w:vAlign w:val="center"/>
          </w:tcPr>
          <w:p>
            <w:pPr>
              <w:jc w:val="center"/>
              <w:rPr>
                <w:rFonts w:ascii="仿宋_GB2312" w:hAnsi="仿宋_GB2312" w:eastAsia="仿宋_GB2312" w:cs="仿宋_GB2312"/>
                <w:spacing w:val="-3"/>
                <w:kern w:val="0"/>
                <w:sz w:val="28"/>
                <w:szCs w:val="28"/>
              </w:rPr>
            </w:pPr>
            <w:r>
              <w:rPr>
                <w:rFonts w:hint="eastAsia" w:ascii="仿宋_GB2312" w:hAnsi="仿宋_GB2312" w:eastAsia="仿宋_GB2312" w:cs="仿宋_GB2312"/>
                <w:spacing w:val="-3"/>
                <w:kern w:val="0"/>
                <w:sz w:val="28"/>
                <w:szCs w:val="28"/>
              </w:rPr>
              <w:t>网线</w:t>
            </w:r>
          </w:p>
        </w:tc>
        <w:tc>
          <w:tcPr>
            <w:tcW w:w="3028" w:type="dxa"/>
            <w:vAlign w:val="center"/>
          </w:tcPr>
          <w:p>
            <w:pPr>
              <w:jc w:val="center"/>
              <w:rPr>
                <w:rFonts w:ascii="仿宋_GB2312" w:hAnsi="仿宋_GB2312" w:eastAsia="仿宋_GB2312" w:cs="仿宋_GB2312"/>
                <w:spacing w:val="-3"/>
                <w:kern w:val="0"/>
                <w:sz w:val="28"/>
                <w:szCs w:val="28"/>
              </w:rPr>
            </w:pPr>
            <w:r>
              <w:rPr>
                <w:rFonts w:hint="eastAsia" w:ascii="仿宋_GB2312" w:hAnsi="仿宋_GB2312" w:eastAsia="仿宋_GB2312" w:cs="仿宋_GB2312"/>
                <w:spacing w:val="-3"/>
                <w:kern w:val="0"/>
                <w:sz w:val="28"/>
                <w:szCs w:val="28"/>
              </w:rPr>
              <w:t>双绞线</w:t>
            </w:r>
          </w:p>
        </w:tc>
        <w:tc>
          <w:tcPr>
            <w:tcW w:w="1547" w:type="dxa"/>
            <w:vAlign w:val="center"/>
          </w:tcPr>
          <w:p>
            <w:pPr>
              <w:jc w:val="center"/>
              <w:rPr>
                <w:rFonts w:ascii="仿宋_GB2312" w:hAnsi="仿宋_GB2312" w:eastAsia="仿宋_GB2312" w:cs="仿宋_GB2312"/>
                <w:spacing w:val="-3"/>
                <w:kern w:val="0"/>
                <w:sz w:val="28"/>
                <w:szCs w:val="28"/>
              </w:rPr>
            </w:pPr>
            <w:r>
              <w:rPr>
                <w:rFonts w:hint="eastAsia" w:ascii="仿宋_GB2312" w:hAnsi="仿宋_GB2312" w:eastAsia="仿宋_GB2312" w:cs="仿宋_GB2312"/>
                <w:spacing w:val="-3"/>
                <w:kern w:val="0"/>
                <w:sz w:val="28"/>
                <w:szCs w:val="28"/>
              </w:rPr>
              <w:t>若干</w:t>
            </w:r>
          </w:p>
        </w:tc>
        <w:tc>
          <w:tcPr>
            <w:tcW w:w="861" w:type="dxa"/>
            <w:vAlign w:val="center"/>
          </w:tcPr>
          <w:p>
            <w:pPr>
              <w:jc w:val="center"/>
              <w:rPr>
                <w:rFonts w:ascii="仿宋_GB2312" w:hAnsi="仿宋_GB2312" w:eastAsia="仿宋_GB2312" w:cs="仿宋_GB2312"/>
                <w:spacing w:val="-3"/>
                <w:kern w:val="0"/>
                <w:sz w:val="28"/>
                <w:szCs w:val="28"/>
              </w:rPr>
            </w:pPr>
            <w:r>
              <w:rPr>
                <w:rFonts w:hint="eastAsia" w:ascii="仿宋_GB2312" w:hAnsi="仿宋_GB2312" w:eastAsia="仿宋_GB2312" w:cs="仿宋_GB2312"/>
                <w:spacing w:val="-3"/>
                <w:kern w:val="0"/>
                <w:sz w:val="28"/>
                <w:szCs w:val="28"/>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9" w:type="dxa"/>
            <w:vAlign w:val="center"/>
          </w:tcPr>
          <w:p>
            <w:pPr>
              <w:jc w:val="center"/>
              <w:rPr>
                <w:rFonts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2</w:t>
            </w:r>
          </w:p>
        </w:tc>
        <w:tc>
          <w:tcPr>
            <w:tcW w:w="2545" w:type="dxa"/>
            <w:vAlign w:val="center"/>
          </w:tcPr>
          <w:p>
            <w:pPr>
              <w:jc w:val="center"/>
              <w:rPr>
                <w:rFonts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交换机调试线</w:t>
            </w:r>
          </w:p>
        </w:tc>
        <w:tc>
          <w:tcPr>
            <w:tcW w:w="3028" w:type="dxa"/>
            <w:vAlign w:val="center"/>
          </w:tcPr>
          <w:p>
            <w:pPr>
              <w:jc w:val="center"/>
              <w:rPr>
                <w:rFonts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USB转RJ</w:t>
            </w:r>
            <w:r>
              <w:rPr>
                <w:rFonts w:ascii="仿宋_GB2312" w:hAnsi="仿宋_GB2312" w:eastAsia="仿宋_GB2312" w:cs="仿宋_GB2312"/>
                <w:spacing w:val="-3"/>
                <w:sz w:val="28"/>
                <w:szCs w:val="28"/>
              </w:rPr>
              <w:t>45</w:t>
            </w:r>
            <w:r>
              <w:rPr>
                <w:rFonts w:hint="eastAsia" w:ascii="仿宋_GB2312" w:hAnsi="仿宋_GB2312" w:eastAsia="仿宋_GB2312" w:cs="仿宋_GB2312"/>
                <w:spacing w:val="-3"/>
                <w:sz w:val="28"/>
                <w:szCs w:val="28"/>
              </w:rPr>
              <w:t>调试线</w:t>
            </w:r>
          </w:p>
        </w:tc>
        <w:tc>
          <w:tcPr>
            <w:tcW w:w="1547" w:type="dxa"/>
            <w:vAlign w:val="center"/>
          </w:tcPr>
          <w:p>
            <w:pPr>
              <w:jc w:val="center"/>
              <w:rPr>
                <w:rFonts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1</w:t>
            </w:r>
          </w:p>
        </w:tc>
        <w:tc>
          <w:tcPr>
            <w:tcW w:w="861" w:type="dxa"/>
            <w:vAlign w:val="center"/>
          </w:tcPr>
          <w:p>
            <w:pPr>
              <w:jc w:val="center"/>
              <w:rPr>
                <w:rFonts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9" w:type="dxa"/>
            <w:vAlign w:val="center"/>
          </w:tcPr>
          <w:p>
            <w:pPr>
              <w:jc w:val="center"/>
              <w:rPr>
                <w:rFonts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3</w:t>
            </w:r>
          </w:p>
        </w:tc>
        <w:tc>
          <w:tcPr>
            <w:tcW w:w="2545" w:type="dxa"/>
            <w:vAlign w:val="center"/>
          </w:tcPr>
          <w:p>
            <w:pPr>
              <w:jc w:val="center"/>
              <w:rPr>
                <w:rFonts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集线器</w:t>
            </w:r>
          </w:p>
        </w:tc>
        <w:tc>
          <w:tcPr>
            <w:tcW w:w="3028" w:type="dxa"/>
            <w:vAlign w:val="center"/>
          </w:tcPr>
          <w:p>
            <w:pPr>
              <w:jc w:val="center"/>
              <w:rPr>
                <w:rFonts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5口集线器</w:t>
            </w:r>
          </w:p>
        </w:tc>
        <w:tc>
          <w:tcPr>
            <w:tcW w:w="1547" w:type="dxa"/>
            <w:vAlign w:val="center"/>
          </w:tcPr>
          <w:p>
            <w:pPr>
              <w:jc w:val="center"/>
              <w:rPr>
                <w:rFonts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1</w:t>
            </w:r>
          </w:p>
        </w:tc>
        <w:tc>
          <w:tcPr>
            <w:tcW w:w="861" w:type="dxa"/>
            <w:vAlign w:val="center"/>
          </w:tcPr>
          <w:p>
            <w:pPr>
              <w:jc w:val="center"/>
              <w:rPr>
                <w:rFonts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9" w:type="dxa"/>
            <w:vAlign w:val="center"/>
          </w:tcPr>
          <w:p>
            <w:pPr>
              <w:jc w:val="center"/>
              <w:rPr>
                <w:rFonts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4</w:t>
            </w:r>
          </w:p>
        </w:tc>
        <w:tc>
          <w:tcPr>
            <w:tcW w:w="2545" w:type="dxa"/>
            <w:vAlign w:val="center"/>
          </w:tcPr>
          <w:p>
            <w:pPr>
              <w:jc w:val="center"/>
              <w:rPr>
                <w:rFonts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U盘</w:t>
            </w:r>
          </w:p>
        </w:tc>
        <w:tc>
          <w:tcPr>
            <w:tcW w:w="3028" w:type="dxa"/>
            <w:vAlign w:val="center"/>
          </w:tcPr>
          <w:p>
            <w:pPr>
              <w:jc w:val="center"/>
              <w:rPr>
                <w:rFonts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6</w:t>
            </w:r>
            <w:r>
              <w:rPr>
                <w:rFonts w:ascii="仿宋_GB2312" w:hAnsi="仿宋_GB2312" w:eastAsia="仿宋_GB2312" w:cs="仿宋_GB2312"/>
                <w:spacing w:val="-3"/>
                <w:sz w:val="28"/>
                <w:szCs w:val="28"/>
              </w:rPr>
              <w:t>4</w:t>
            </w:r>
            <w:r>
              <w:rPr>
                <w:rFonts w:hint="eastAsia" w:ascii="仿宋_GB2312" w:hAnsi="仿宋_GB2312" w:eastAsia="仿宋_GB2312" w:cs="仿宋_GB2312"/>
                <w:spacing w:val="-3"/>
                <w:sz w:val="28"/>
                <w:szCs w:val="28"/>
              </w:rPr>
              <w:t>GB</w:t>
            </w:r>
          </w:p>
        </w:tc>
        <w:tc>
          <w:tcPr>
            <w:tcW w:w="1547" w:type="dxa"/>
            <w:vAlign w:val="center"/>
          </w:tcPr>
          <w:p>
            <w:pPr>
              <w:jc w:val="center"/>
              <w:rPr>
                <w:rFonts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1</w:t>
            </w:r>
          </w:p>
        </w:tc>
        <w:tc>
          <w:tcPr>
            <w:tcW w:w="861" w:type="dxa"/>
            <w:vAlign w:val="center"/>
          </w:tcPr>
          <w:p>
            <w:pPr>
              <w:jc w:val="center"/>
              <w:rPr>
                <w:rFonts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个</w:t>
            </w:r>
          </w:p>
        </w:tc>
      </w:tr>
    </w:tbl>
    <w:p>
      <w:pPr>
        <w:snapToGrid w:val="0"/>
        <w:spacing w:line="560" w:lineRule="exact"/>
        <w:ind w:firstLine="640" w:firstLineChars="200"/>
        <w:rPr>
          <w:rFonts w:hint="eastAsia" w:eastAsia="仿宋_GB2312"/>
          <w:kern w:val="44"/>
          <w:sz w:val="32"/>
          <w:szCs w:val="32"/>
          <w:lang w:eastAsia="zh-Hans"/>
        </w:rPr>
      </w:pPr>
      <w:r>
        <w:rPr>
          <w:rFonts w:eastAsia="仿宋_GB2312"/>
          <w:kern w:val="44"/>
          <w:sz w:val="32"/>
          <w:szCs w:val="32"/>
          <w:lang w:eastAsia="zh-Hans"/>
        </w:rPr>
        <w:t>3.每位参赛选手仅可携带一台笔记本电脑（扩展坞自备），禁止携带其他智能电子设备、存储设备、网络通信设备及其他等与大赛无关的物品。</w:t>
      </w:r>
    </w:p>
    <w:p>
      <w:pPr>
        <w:pStyle w:val="3"/>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七、大赛关键环节与时间安排</w:t>
      </w:r>
    </w:p>
    <w:p>
      <w:pPr>
        <w:pStyle w:val="3"/>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（一）关键环节</w:t>
      </w:r>
    </w:p>
    <w:p>
      <w:pPr>
        <w:snapToGrid w:val="0"/>
        <w:spacing w:line="560" w:lineRule="exact"/>
        <w:ind w:firstLine="640"/>
        <w:rPr>
          <w:rFonts w:hint="eastAsia" w:eastAsia="仿宋_GB2312"/>
          <w:kern w:val="44"/>
          <w:sz w:val="32"/>
          <w:szCs w:val="32"/>
          <w:lang w:eastAsia="zh-Hans"/>
        </w:rPr>
      </w:pPr>
      <w:r>
        <w:rPr>
          <w:rFonts w:hint="eastAsia" w:eastAsia="仿宋_GB2312"/>
          <w:kern w:val="44"/>
          <w:sz w:val="32"/>
          <w:szCs w:val="32"/>
          <w:lang w:eastAsia="zh-Hans"/>
        </w:rPr>
        <w:t>参赛选手报到——召开领队赛前说明会——参赛选手赛前熟悉场地——理论考试——开幕式——实操竞赛——比赛结束（参赛选手上交比赛成果）——成绩评定——大赛技术点评、颁奖仪式、闭幕式。</w:t>
      </w:r>
    </w:p>
    <w:p>
      <w:pPr>
        <w:pStyle w:val="3"/>
        <w:numPr>
          <w:ilvl w:val="0"/>
          <w:numId w:val="1"/>
        </w:numPr>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竞赛流程</w:t>
      </w:r>
    </w:p>
    <w:p>
      <w:pPr>
        <w:widowControl/>
        <w:snapToGrid w:val="0"/>
        <w:spacing w:line="560" w:lineRule="exact"/>
        <w:ind w:firstLine="640"/>
        <w:jc w:val="left"/>
        <w:rPr>
          <w:rFonts w:hint="eastAsia" w:eastAsia="仿宋_GB2312"/>
          <w:kern w:val="44"/>
          <w:sz w:val="32"/>
          <w:szCs w:val="32"/>
          <w:lang w:eastAsia="zh-Hans"/>
        </w:rPr>
      </w:pPr>
      <w:r>
        <w:rPr>
          <w:rFonts w:hint="eastAsia" w:eastAsia="仿宋_GB2312"/>
          <w:kern w:val="44"/>
          <w:sz w:val="32"/>
          <w:szCs w:val="32"/>
          <w:lang w:eastAsia="zh-Hans"/>
        </w:rPr>
        <w:t>竞赛组织基本流程</w:t>
      </w:r>
    </w:p>
    <w:p/>
    <w:p>
      <w:pPr>
        <w:jc w:val="center"/>
        <w:rPr>
          <w:rFonts w:eastAsia="仿宋_GB2312"/>
          <w:sz w:val="32"/>
          <w:szCs w:val="32"/>
        </w:rPr>
      </w:pPr>
      <w:r>
        <w:rPr>
          <w:position w:val="-176"/>
        </w:rPr>
        <w:drawing>
          <wp:inline distT="0" distB="0" distL="114300" distR="114300">
            <wp:extent cx="4861560" cy="5606415"/>
            <wp:effectExtent l="0" t="0" r="15240" b="13335"/>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5"/>
                    <a:stretch>
                      <a:fillRect/>
                    </a:stretch>
                  </pic:blipFill>
                  <pic:spPr>
                    <a:xfrm>
                      <a:off x="0" y="0"/>
                      <a:ext cx="4861560" cy="5606415"/>
                    </a:xfrm>
                    <a:prstGeom prst="rect">
                      <a:avLst/>
                    </a:prstGeom>
                    <a:noFill/>
                    <a:ln w="9525">
                      <a:noFill/>
                    </a:ln>
                  </pic:spPr>
                </pic:pic>
              </a:graphicData>
            </a:graphic>
          </wp:inline>
        </w:drawing>
      </w:r>
    </w:p>
    <w:p>
      <w:pPr>
        <w:spacing w:line="560" w:lineRule="exact"/>
        <w:ind w:left="3346"/>
        <w:rPr>
          <w:rFonts w:eastAsia="仿宋_GB2312"/>
          <w:snapToGrid w:val="0"/>
          <w:color w:val="000000"/>
          <w:kern w:val="0"/>
          <w:sz w:val="28"/>
          <w:szCs w:val="28"/>
        </w:rPr>
      </w:pPr>
      <w:r>
        <w:rPr>
          <w:rFonts w:eastAsia="仿宋_GB2312"/>
          <w:snapToGrid w:val="0"/>
          <w:color w:val="000000"/>
          <w:kern w:val="0"/>
          <w:sz w:val="28"/>
          <w:szCs w:val="28"/>
        </w:rPr>
        <w:t>图2 竞赛组织基本流程</w:t>
      </w:r>
    </w:p>
    <w:p>
      <w:pPr>
        <w:pStyle w:val="3"/>
        <w:numPr>
          <w:ilvl w:val="0"/>
          <w:numId w:val="1"/>
        </w:numPr>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时间安排</w:t>
      </w:r>
    </w:p>
    <w:p>
      <w:pPr>
        <w:widowControl/>
        <w:snapToGrid w:val="0"/>
        <w:spacing w:line="560" w:lineRule="exact"/>
        <w:ind w:firstLine="640"/>
        <w:jc w:val="left"/>
        <w:rPr>
          <w:rFonts w:hint="eastAsia" w:eastAsia="仿宋_GB2312"/>
          <w:sz w:val="32"/>
          <w:szCs w:val="32"/>
        </w:rPr>
      </w:pPr>
      <w:r>
        <w:rPr>
          <w:rFonts w:hint="eastAsia" w:eastAsia="仿宋_GB2312"/>
          <w:sz w:val="32"/>
          <w:szCs w:val="32"/>
          <w:lang w:eastAsia="zh-Hans"/>
        </w:rPr>
        <w:t>比赛时间预计为1</w:t>
      </w:r>
      <w:r>
        <w:rPr>
          <w:rFonts w:eastAsia="仿宋_GB2312"/>
          <w:sz w:val="32"/>
          <w:szCs w:val="32"/>
          <w:lang w:eastAsia="zh-Hans"/>
        </w:rPr>
        <w:t>0</w:t>
      </w:r>
      <w:r>
        <w:rPr>
          <w:rFonts w:hint="eastAsia" w:eastAsia="仿宋_GB2312"/>
          <w:sz w:val="32"/>
          <w:szCs w:val="32"/>
          <w:lang w:eastAsia="zh-Hans"/>
        </w:rPr>
        <w:t>月</w:t>
      </w:r>
      <w:r>
        <w:rPr>
          <w:rFonts w:eastAsia="仿宋_GB2312"/>
          <w:sz w:val="32"/>
          <w:szCs w:val="32"/>
          <w:lang w:eastAsia="zh-Hans"/>
        </w:rPr>
        <w:t>28</w:t>
      </w:r>
      <w:r>
        <w:rPr>
          <w:rFonts w:hint="eastAsia" w:eastAsia="仿宋_GB2312"/>
          <w:sz w:val="32"/>
          <w:szCs w:val="32"/>
          <w:lang w:eastAsia="zh-Hans"/>
        </w:rPr>
        <w:t>日至3</w:t>
      </w:r>
      <w:r>
        <w:rPr>
          <w:rFonts w:eastAsia="仿宋_GB2312"/>
          <w:sz w:val="32"/>
          <w:szCs w:val="32"/>
          <w:lang w:eastAsia="zh-Hans"/>
        </w:rPr>
        <w:t>0</w:t>
      </w:r>
      <w:r>
        <w:rPr>
          <w:rFonts w:hint="eastAsia" w:eastAsia="仿宋_GB2312"/>
          <w:sz w:val="32"/>
          <w:szCs w:val="32"/>
          <w:lang w:eastAsia="zh-Hans"/>
        </w:rPr>
        <w:t>日，安排如表</w:t>
      </w:r>
      <w:r>
        <w:rPr>
          <w:rFonts w:eastAsia="仿宋_GB2312"/>
          <w:sz w:val="32"/>
          <w:szCs w:val="32"/>
          <w:lang w:eastAsia="zh-Hans"/>
        </w:rPr>
        <w:t>3</w:t>
      </w:r>
      <w:r>
        <w:rPr>
          <w:rFonts w:hint="eastAsia" w:eastAsia="仿宋_GB2312"/>
          <w:sz w:val="32"/>
          <w:szCs w:val="32"/>
          <w:lang w:eastAsia="zh-Hans"/>
        </w:rPr>
        <w:t>。</w:t>
      </w:r>
    </w:p>
    <w:p>
      <w:pPr>
        <w:widowControl/>
        <w:snapToGrid w:val="0"/>
        <w:spacing w:line="560" w:lineRule="exact"/>
        <w:ind w:firstLine="640"/>
        <w:jc w:val="left"/>
        <w:rPr>
          <w:rFonts w:hint="eastAsia" w:eastAsia="仿宋_GB2312"/>
          <w:sz w:val="32"/>
          <w:szCs w:val="32"/>
        </w:rPr>
      </w:pPr>
    </w:p>
    <w:p>
      <w:pPr>
        <w:widowControl/>
        <w:snapToGrid w:val="0"/>
        <w:spacing w:line="560" w:lineRule="exact"/>
        <w:ind w:firstLine="640"/>
        <w:jc w:val="left"/>
        <w:rPr>
          <w:rFonts w:hint="eastAsia" w:eastAsia="仿宋_GB2312"/>
          <w:sz w:val="32"/>
          <w:szCs w:val="32"/>
        </w:rPr>
      </w:pPr>
    </w:p>
    <w:p>
      <w:pPr>
        <w:pStyle w:val="4"/>
        <w:spacing w:line="560" w:lineRule="exact"/>
        <w:jc w:val="center"/>
        <w:rPr>
          <w:sz w:val="28"/>
          <w:szCs w:val="28"/>
        </w:rPr>
      </w:pPr>
      <w:r>
        <w:rPr>
          <w:rFonts w:eastAsia="仿宋_GB2312"/>
          <w:snapToGrid w:val="0"/>
          <w:color w:val="000000"/>
          <w:kern w:val="0"/>
          <w:sz w:val="28"/>
          <w:szCs w:val="28"/>
        </w:rPr>
        <w:t>表3： 比赛时间安排</w:t>
      </w:r>
    </w:p>
    <w:tbl>
      <w:tblPr>
        <w:tblStyle w:val="6"/>
        <w:tblW w:w="829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9"/>
        <w:gridCol w:w="2130"/>
        <w:gridCol w:w="4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9" w:hRule="atLeast"/>
          <w:jc w:val="center"/>
        </w:trPr>
        <w:tc>
          <w:tcPr>
            <w:tcW w:w="1569" w:type="dxa"/>
            <w:vAlign w:val="center"/>
          </w:tcPr>
          <w:p>
            <w:pPr>
              <w:spacing w:line="560" w:lineRule="exact"/>
              <w:jc w:val="center"/>
              <w:rPr>
                <w:rFonts w:eastAsia="仿宋_GB2312"/>
                <w:b/>
                <w:bCs/>
                <w:sz w:val="28"/>
                <w:szCs w:val="28"/>
              </w:rPr>
            </w:pPr>
            <w:r>
              <w:rPr>
                <w:rFonts w:eastAsia="仿宋_GB2312"/>
                <w:b/>
                <w:bCs/>
                <w:sz w:val="28"/>
                <w:szCs w:val="28"/>
              </w:rPr>
              <w:t>日  期</w:t>
            </w:r>
          </w:p>
        </w:tc>
        <w:tc>
          <w:tcPr>
            <w:tcW w:w="2130" w:type="dxa"/>
            <w:vAlign w:val="center"/>
          </w:tcPr>
          <w:p>
            <w:pPr>
              <w:spacing w:line="560" w:lineRule="exact"/>
              <w:jc w:val="center"/>
              <w:rPr>
                <w:rFonts w:eastAsia="仿宋_GB2312"/>
                <w:b/>
                <w:bCs/>
                <w:sz w:val="28"/>
                <w:szCs w:val="28"/>
              </w:rPr>
            </w:pPr>
            <w:r>
              <w:rPr>
                <w:rFonts w:eastAsia="仿宋_GB2312"/>
                <w:b/>
                <w:bCs/>
                <w:sz w:val="28"/>
                <w:szCs w:val="28"/>
              </w:rPr>
              <w:t>时   间</w:t>
            </w:r>
          </w:p>
        </w:tc>
        <w:tc>
          <w:tcPr>
            <w:tcW w:w="4597" w:type="dxa"/>
            <w:vAlign w:val="center"/>
          </w:tcPr>
          <w:p>
            <w:pPr>
              <w:spacing w:line="560" w:lineRule="exact"/>
              <w:jc w:val="center"/>
              <w:rPr>
                <w:rFonts w:eastAsia="仿宋_GB2312"/>
                <w:b/>
                <w:bCs/>
                <w:sz w:val="28"/>
                <w:szCs w:val="28"/>
              </w:rPr>
            </w:pPr>
            <w:r>
              <w:rPr>
                <w:rFonts w:eastAsia="仿宋_GB2312"/>
                <w:b/>
                <w:bCs/>
                <w:sz w:val="28"/>
                <w:szCs w:val="28"/>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569" w:type="dxa"/>
            <w:vMerge w:val="restart"/>
            <w:vAlign w:val="center"/>
          </w:tcPr>
          <w:p>
            <w:pPr>
              <w:widowControl/>
              <w:kinsoku w:val="0"/>
              <w:autoSpaceDE w:val="0"/>
              <w:autoSpaceDN w:val="0"/>
              <w:adjustRightInd w:val="0"/>
              <w:snapToGrid w:val="0"/>
              <w:spacing w:line="560" w:lineRule="exact"/>
              <w:jc w:val="center"/>
              <w:textAlignment w:val="baseline"/>
              <w:rPr>
                <w:rFonts w:eastAsia="仿宋_GB2312"/>
                <w:snapToGrid w:val="0"/>
                <w:color w:val="000000"/>
                <w:kern w:val="0"/>
                <w:sz w:val="28"/>
                <w:szCs w:val="28"/>
              </w:rPr>
            </w:pPr>
            <w:r>
              <w:rPr>
                <w:rFonts w:eastAsia="仿宋_GB2312"/>
                <w:snapToGrid w:val="0"/>
                <w:color w:val="000000"/>
                <w:kern w:val="0"/>
                <w:sz w:val="28"/>
                <w:szCs w:val="28"/>
              </w:rPr>
              <w:t>1</w:t>
            </w:r>
            <w:r>
              <w:rPr>
                <w:rFonts w:hint="eastAsia" w:eastAsia="仿宋_GB2312"/>
                <w:snapToGrid w:val="0"/>
                <w:color w:val="000000"/>
                <w:kern w:val="0"/>
                <w:sz w:val="28"/>
                <w:szCs w:val="28"/>
              </w:rPr>
              <w:t>0</w:t>
            </w:r>
            <w:r>
              <w:rPr>
                <w:rFonts w:eastAsia="仿宋_GB2312"/>
                <w:snapToGrid w:val="0"/>
                <w:color w:val="000000"/>
                <w:kern w:val="0"/>
                <w:sz w:val="28"/>
                <w:szCs w:val="28"/>
              </w:rPr>
              <w:t>月</w:t>
            </w:r>
            <w:r>
              <w:rPr>
                <w:rFonts w:hint="eastAsia" w:eastAsia="仿宋_GB2312"/>
                <w:snapToGrid w:val="0"/>
                <w:color w:val="000000"/>
                <w:kern w:val="0"/>
                <w:sz w:val="28"/>
                <w:szCs w:val="28"/>
              </w:rPr>
              <w:t>28</w:t>
            </w:r>
            <w:r>
              <w:rPr>
                <w:rFonts w:eastAsia="仿宋_GB2312"/>
                <w:snapToGrid w:val="0"/>
                <w:color w:val="000000"/>
                <w:kern w:val="0"/>
                <w:sz w:val="28"/>
                <w:szCs w:val="28"/>
              </w:rPr>
              <w:t>日</w:t>
            </w:r>
          </w:p>
        </w:tc>
        <w:tc>
          <w:tcPr>
            <w:tcW w:w="2130" w:type="dxa"/>
            <w:vAlign w:val="center"/>
          </w:tcPr>
          <w:p>
            <w:pPr>
              <w:widowControl/>
              <w:kinsoku w:val="0"/>
              <w:autoSpaceDE w:val="0"/>
              <w:autoSpaceDN w:val="0"/>
              <w:adjustRightInd w:val="0"/>
              <w:snapToGrid w:val="0"/>
              <w:spacing w:line="560" w:lineRule="exact"/>
              <w:jc w:val="center"/>
              <w:textAlignment w:val="baseline"/>
              <w:rPr>
                <w:rFonts w:eastAsia="仿宋_GB2312"/>
                <w:snapToGrid w:val="0"/>
                <w:color w:val="000000"/>
                <w:kern w:val="0"/>
                <w:sz w:val="28"/>
                <w:szCs w:val="28"/>
              </w:rPr>
            </w:pPr>
            <w:r>
              <w:rPr>
                <w:rFonts w:eastAsia="仿宋_GB2312"/>
                <w:snapToGrid w:val="0"/>
                <w:color w:val="000000"/>
                <w:kern w:val="0"/>
                <w:sz w:val="28"/>
                <w:szCs w:val="28"/>
              </w:rPr>
              <w:t>8:00-15:00</w:t>
            </w:r>
          </w:p>
        </w:tc>
        <w:tc>
          <w:tcPr>
            <w:tcW w:w="4597" w:type="dxa"/>
            <w:vAlign w:val="center"/>
          </w:tcPr>
          <w:p>
            <w:pPr>
              <w:widowControl/>
              <w:kinsoku w:val="0"/>
              <w:autoSpaceDE w:val="0"/>
              <w:autoSpaceDN w:val="0"/>
              <w:adjustRightInd w:val="0"/>
              <w:snapToGrid w:val="0"/>
              <w:spacing w:line="560" w:lineRule="exact"/>
              <w:jc w:val="left"/>
              <w:textAlignment w:val="baseline"/>
              <w:rPr>
                <w:rFonts w:eastAsia="仿宋_GB2312"/>
                <w:snapToGrid w:val="0"/>
                <w:color w:val="000000"/>
                <w:kern w:val="0"/>
                <w:sz w:val="28"/>
                <w:szCs w:val="28"/>
              </w:rPr>
            </w:pPr>
            <w:r>
              <w:rPr>
                <w:rFonts w:eastAsia="仿宋_GB2312"/>
                <w:snapToGrid w:val="0"/>
                <w:color w:val="000000"/>
                <w:kern w:val="0"/>
                <w:sz w:val="28"/>
                <w:szCs w:val="28"/>
              </w:rPr>
              <w:t>报到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569" w:type="dxa"/>
            <w:vMerge w:val="continue"/>
            <w:vAlign w:val="center"/>
          </w:tcPr>
          <w:p>
            <w:pPr>
              <w:widowControl/>
              <w:kinsoku w:val="0"/>
              <w:autoSpaceDE w:val="0"/>
              <w:autoSpaceDN w:val="0"/>
              <w:adjustRightInd w:val="0"/>
              <w:snapToGrid w:val="0"/>
              <w:spacing w:line="560" w:lineRule="exact"/>
              <w:jc w:val="center"/>
              <w:textAlignment w:val="baseline"/>
              <w:rPr>
                <w:rFonts w:eastAsia="仿宋_GB2312"/>
                <w:snapToGrid w:val="0"/>
                <w:color w:val="000000"/>
                <w:kern w:val="0"/>
                <w:sz w:val="28"/>
                <w:szCs w:val="28"/>
              </w:rPr>
            </w:pPr>
          </w:p>
        </w:tc>
        <w:tc>
          <w:tcPr>
            <w:tcW w:w="2130" w:type="dxa"/>
            <w:vAlign w:val="center"/>
          </w:tcPr>
          <w:p>
            <w:pPr>
              <w:widowControl/>
              <w:kinsoku w:val="0"/>
              <w:autoSpaceDE w:val="0"/>
              <w:autoSpaceDN w:val="0"/>
              <w:adjustRightInd w:val="0"/>
              <w:snapToGrid w:val="0"/>
              <w:spacing w:line="560" w:lineRule="exact"/>
              <w:jc w:val="center"/>
              <w:textAlignment w:val="baseline"/>
              <w:rPr>
                <w:rFonts w:eastAsia="仿宋_GB2312"/>
                <w:snapToGrid w:val="0"/>
                <w:color w:val="000000"/>
                <w:kern w:val="0"/>
                <w:sz w:val="28"/>
                <w:szCs w:val="28"/>
              </w:rPr>
            </w:pPr>
            <w:r>
              <w:rPr>
                <w:rFonts w:eastAsia="仿宋_GB2312"/>
                <w:snapToGrid w:val="0"/>
                <w:color w:val="000000"/>
                <w:kern w:val="0"/>
                <w:sz w:val="28"/>
                <w:szCs w:val="28"/>
              </w:rPr>
              <w:t>15:00-16:00</w:t>
            </w:r>
          </w:p>
        </w:tc>
        <w:tc>
          <w:tcPr>
            <w:tcW w:w="4597" w:type="dxa"/>
            <w:vAlign w:val="center"/>
          </w:tcPr>
          <w:p>
            <w:pPr>
              <w:widowControl/>
              <w:kinsoku w:val="0"/>
              <w:autoSpaceDE w:val="0"/>
              <w:autoSpaceDN w:val="0"/>
              <w:adjustRightInd w:val="0"/>
              <w:snapToGrid w:val="0"/>
              <w:spacing w:line="560" w:lineRule="exact"/>
              <w:jc w:val="left"/>
              <w:textAlignment w:val="baseline"/>
              <w:rPr>
                <w:rFonts w:eastAsia="仿宋_GB2312"/>
                <w:snapToGrid w:val="0"/>
                <w:color w:val="000000"/>
                <w:kern w:val="0"/>
                <w:sz w:val="28"/>
                <w:szCs w:val="28"/>
              </w:rPr>
            </w:pPr>
            <w:r>
              <w:rPr>
                <w:rFonts w:eastAsia="仿宋_GB2312"/>
                <w:snapToGrid w:val="0"/>
                <w:color w:val="000000"/>
                <w:kern w:val="0"/>
                <w:sz w:val="28"/>
                <w:szCs w:val="28"/>
              </w:rPr>
              <w:t>领队会议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569" w:type="dxa"/>
            <w:vMerge w:val="continue"/>
            <w:vAlign w:val="center"/>
          </w:tcPr>
          <w:p>
            <w:pPr>
              <w:widowControl/>
              <w:kinsoku w:val="0"/>
              <w:autoSpaceDE w:val="0"/>
              <w:autoSpaceDN w:val="0"/>
              <w:adjustRightInd w:val="0"/>
              <w:snapToGrid w:val="0"/>
              <w:spacing w:line="560" w:lineRule="exact"/>
              <w:jc w:val="center"/>
              <w:textAlignment w:val="baseline"/>
              <w:rPr>
                <w:rFonts w:eastAsia="仿宋_GB2312"/>
                <w:snapToGrid w:val="0"/>
                <w:color w:val="000000"/>
                <w:kern w:val="0"/>
                <w:sz w:val="28"/>
                <w:szCs w:val="28"/>
              </w:rPr>
            </w:pPr>
          </w:p>
        </w:tc>
        <w:tc>
          <w:tcPr>
            <w:tcW w:w="2130" w:type="dxa"/>
            <w:vAlign w:val="center"/>
          </w:tcPr>
          <w:p>
            <w:pPr>
              <w:widowControl/>
              <w:kinsoku w:val="0"/>
              <w:autoSpaceDE w:val="0"/>
              <w:autoSpaceDN w:val="0"/>
              <w:adjustRightInd w:val="0"/>
              <w:snapToGrid w:val="0"/>
              <w:spacing w:line="560" w:lineRule="exact"/>
              <w:jc w:val="center"/>
              <w:textAlignment w:val="baseline"/>
              <w:rPr>
                <w:rFonts w:eastAsia="仿宋_GB2312"/>
                <w:snapToGrid w:val="0"/>
                <w:color w:val="000000"/>
                <w:kern w:val="0"/>
                <w:sz w:val="28"/>
                <w:szCs w:val="28"/>
              </w:rPr>
            </w:pPr>
            <w:r>
              <w:rPr>
                <w:rFonts w:eastAsia="仿宋_GB2312"/>
                <w:snapToGrid w:val="0"/>
                <w:color w:val="000000"/>
                <w:kern w:val="0"/>
                <w:sz w:val="28"/>
                <w:szCs w:val="28"/>
              </w:rPr>
              <w:t>16:00-17:00</w:t>
            </w:r>
          </w:p>
        </w:tc>
        <w:tc>
          <w:tcPr>
            <w:tcW w:w="4597" w:type="dxa"/>
            <w:vAlign w:val="center"/>
          </w:tcPr>
          <w:p>
            <w:pPr>
              <w:widowControl/>
              <w:kinsoku w:val="0"/>
              <w:autoSpaceDE w:val="0"/>
              <w:autoSpaceDN w:val="0"/>
              <w:adjustRightInd w:val="0"/>
              <w:snapToGrid w:val="0"/>
              <w:spacing w:line="560" w:lineRule="exact"/>
              <w:jc w:val="left"/>
              <w:textAlignment w:val="baseline"/>
              <w:rPr>
                <w:rFonts w:eastAsia="仿宋_GB2312"/>
                <w:snapToGrid w:val="0"/>
                <w:color w:val="000000"/>
                <w:kern w:val="0"/>
                <w:sz w:val="28"/>
                <w:szCs w:val="28"/>
              </w:rPr>
            </w:pPr>
            <w:r>
              <w:rPr>
                <w:rFonts w:eastAsia="仿宋_GB2312"/>
                <w:snapToGrid w:val="0"/>
                <w:color w:val="000000"/>
                <w:kern w:val="0"/>
                <w:sz w:val="28"/>
                <w:szCs w:val="28"/>
              </w:rPr>
              <w:t>参观赛场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569" w:type="dxa"/>
            <w:vMerge w:val="continue"/>
            <w:vAlign w:val="center"/>
          </w:tcPr>
          <w:p>
            <w:pPr>
              <w:widowControl/>
              <w:kinsoku w:val="0"/>
              <w:autoSpaceDE w:val="0"/>
              <w:autoSpaceDN w:val="0"/>
              <w:adjustRightInd w:val="0"/>
              <w:snapToGrid w:val="0"/>
              <w:spacing w:line="560" w:lineRule="exact"/>
              <w:jc w:val="center"/>
              <w:textAlignment w:val="baseline"/>
              <w:rPr>
                <w:rFonts w:eastAsia="仿宋_GB2312"/>
                <w:snapToGrid w:val="0"/>
                <w:color w:val="000000"/>
                <w:kern w:val="0"/>
                <w:sz w:val="28"/>
                <w:szCs w:val="28"/>
              </w:rPr>
            </w:pPr>
          </w:p>
        </w:tc>
        <w:tc>
          <w:tcPr>
            <w:tcW w:w="2130" w:type="dxa"/>
            <w:vAlign w:val="center"/>
          </w:tcPr>
          <w:p>
            <w:pPr>
              <w:widowControl/>
              <w:kinsoku w:val="0"/>
              <w:autoSpaceDE w:val="0"/>
              <w:autoSpaceDN w:val="0"/>
              <w:adjustRightInd w:val="0"/>
              <w:snapToGrid w:val="0"/>
              <w:spacing w:line="560" w:lineRule="exact"/>
              <w:jc w:val="center"/>
              <w:textAlignment w:val="baseline"/>
              <w:rPr>
                <w:rFonts w:eastAsia="仿宋_GB2312"/>
                <w:snapToGrid w:val="0"/>
                <w:color w:val="000000"/>
                <w:kern w:val="0"/>
                <w:sz w:val="28"/>
                <w:szCs w:val="28"/>
              </w:rPr>
            </w:pPr>
            <w:r>
              <w:rPr>
                <w:rFonts w:eastAsia="仿宋_GB2312"/>
                <w:snapToGrid w:val="0"/>
                <w:color w:val="000000"/>
                <w:kern w:val="0"/>
                <w:sz w:val="28"/>
                <w:szCs w:val="28"/>
              </w:rPr>
              <w:t>17:00-18:00</w:t>
            </w:r>
          </w:p>
        </w:tc>
        <w:tc>
          <w:tcPr>
            <w:tcW w:w="4597" w:type="dxa"/>
            <w:vAlign w:val="center"/>
          </w:tcPr>
          <w:p>
            <w:pPr>
              <w:widowControl/>
              <w:kinsoku w:val="0"/>
              <w:autoSpaceDE w:val="0"/>
              <w:autoSpaceDN w:val="0"/>
              <w:adjustRightInd w:val="0"/>
              <w:snapToGrid w:val="0"/>
              <w:spacing w:line="560" w:lineRule="exact"/>
              <w:jc w:val="left"/>
              <w:textAlignment w:val="baseline"/>
              <w:rPr>
                <w:rFonts w:eastAsia="仿宋_GB2312"/>
                <w:snapToGrid w:val="0"/>
                <w:color w:val="000000"/>
                <w:kern w:val="0"/>
                <w:sz w:val="28"/>
                <w:szCs w:val="28"/>
              </w:rPr>
            </w:pPr>
            <w:r>
              <w:rPr>
                <w:rFonts w:eastAsia="仿宋_GB2312"/>
                <w:snapToGrid w:val="0"/>
                <w:color w:val="000000"/>
                <w:kern w:val="0"/>
                <w:sz w:val="28"/>
                <w:szCs w:val="28"/>
              </w:rPr>
              <w:t>理论考试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569" w:type="dxa"/>
            <w:vMerge w:val="continue"/>
            <w:vAlign w:val="center"/>
          </w:tcPr>
          <w:p>
            <w:pPr>
              <w:widowControl/>
              <w:kinsoku w:val="0"/>
              <w:autoSpaceDE w:val="0"/>
              <w:autoSpaceDN w:val="0"/>
              <w:adjustRightInd w:val="0"/>
              <w:snapToGrid w:val="0"/>
              <w:spacing w:line="560" w:lineRule="exact"/>
              <w:jc w:val="center"/>
              <w:textAlignment w:val="baseline"/>
              <w:rPr>
                <w:rFonts w:eastAsia="仿宋_GB2312"/>
                <w:snapToGrid w:val="0"/>
                <w:color w:val="000000"/>
                <w:kern w:val="0"/>
                <w:sz w:val="28"/>
                <w:szCs w:val="28"/>
              </w:rPr>
            </w:pPr>
          </w:p>
        </w:tc>
        <w:tc>
          <w:tcPr>
            <w:tcW w:w="2130" w:type="dxa"/>
            <w:vAlign w:val="center"/>
          </w:tcPr>
          <w:p>
            <w:pPr>
              <w:widowControl/>
              <w:kinsoku w:val="0"/>
              <w:autoSpaceDE w:val="0"/>
              <w:autoSpaceDN w:val="0"/>
              <w:adjustRightInd w:val="0"/>
              <w:snapToGrid w:val="0"/>
              <w:spacing w:line="560" w:lineRule="exact"/>
              <w:jc w:val="center"/>
              <w:textAlignment w:val="baseline"/>
              <w:rPr>
                <w:rFonts w:eastAsia="仿宋_GB2312"/>
                <w:snapToGrid w:val="0"/>
                <w:color w:val="000000"/>
                <w:kern w:val="0"/>
                <w:sz w:val="28"/>
                <w:szCs w:val="28"/>
              </w:rPr>
            </w:pPr>
            <w:r>
              <w:rPr>
                <w:rFonts w:eastAsia="仿宋_GB2312"/>
                <w:snapToGrid w:val="0"/>
                <w:color w:val="000000"/>
                <w:kern w:val="0"/>
                <w:sz w:val="28"/>
                <w:szCs w:val="28"/>
              </w:rPr>
              <w:t>19:30-21:00</w:t>
            </w:r>
          </w:p>
        </w:tc>
        <w:tc>
          <w:tcPr>
            <w:tcW w:w="4597" w:type="dxa"/>
            <w:vAlign w:val="center"/>
          </w:tcPr>
          <w:p>
            <w:pPr>
              <w:widowControl/>
              <w:kinsoku w:val="0"/>
              <w:autoSpaceDE w:val="0"/>
              <w:autoSpaceDN w:val="0"/>
              <w:adjustRightInd w:val="0"/>
              <w:snapToGrid w:val="0"/>
              <w:spacing w:line="560" w:lineRule="exact"/>
              <w:jc w:val="left"/>
              <w:textAlignment w:val="baseline"/>
              <w:rPr>
                <w:rFonts w:eastAsia="仿宋_GB2312"/>
                <w:snapToGrid w:val="0"/>
                <w:color w:val="000000"/>
                <w:kern w:val="0"/>
                <w:sz w:val="28"/>
                <w:szCs w:val="28"/>
              </w:rPr>
            </w:pPr>
            <w:r>
              <w:rPr>
                <w:rFonts w:eastAsia="仿宋_GB2312"/>
                <w:snapToGrid w:val="0"/>
                <w:color w:val="000000"/>
                <w:kern w:val="0"/>
                <w:sz w:val="28"/>
                <w:szCs w:val="28"/>
              </w:rPr>
              <w:t>裁判会议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569" w:type="dxa"/>
            <w:vMerge w:val="restart"/>
            <w:vAlign w:val="center"/>
          </w:tcPr>
          <w:p>
            <w:pPr>
              <w:widowControl/>
              <w:kinsoku w:val="0"/>
              <w:autoSpaceDE w:val="0"/>
              <w:autoSpaceDN w:val="0"/>
              <w:adjustRightInd w:val="0"/>
              <w:snapToGrid w:val="0"/>
              <w:spacing w:line="560" w:lineRule="exact"/>
              <w:jc w:val="center"/>
              <w:textAlignment w:val="baseline"/>
              <w:rPr>
                <w:rFonts w:eastAsia="仿宋_GB2312"/>
                <w:snapToGrid w:val="0"/>
                <w:color w:val="000000"/>
                <w:kern w:val="0"/>
                <w:sz w:val="28"/>
                <w:szCs w:val="28"/>
              </w:rPr>
            </w:pPr>
            <w:r>
              <w:rPr>
                <w:rFonts w:eastAsia="仿宋_GB2312"/>
                <w:snapToGrid w:val="0"/>
                <w:color w:val="000000"/>
                <w:kern w:val="0"/>
                <w:sz w:val="28"/>
                <w:szCs w:val="28"/>
              </w:rPr>
              <w:t>1</w:t>
            </w:r>
            <w:r>
              <w:rPr>
                <w:rFonts w:hint="eastAsia" w:eastAsia="仿宋_GB2312"/>
                <w:snapToGrid w:val="0"/>
                <w:color w:val="000000"/>
                <w:kern w:val="0"/>
                <w:sz w:val="28"/>
                <w:szCs w:val="28"/>
              </w:rPr>
              <w:t>0</w:t>
            </w:r>
            <w:r>
              <w:rPr>
                <w:rFonts w:eastAsia="仿宋_GB2312"/>
                <w:snapToGrid w:val="0"/>
                <w:color w:val="000000"/>
                <w:kern w:val="0"/>
                <w:sz w:val="28"/>
                <w:szCs w:val="28"/>
              </w:rPr>
              <w:t>月</w:t>
            </w:r>
            <w:r>
              <w:rPr>
                <w:rFonts w:hint="eastAsia" w:eastAsia="仿宋_GB2312"/>
                <w:snapToGrid w:val="0"/>
                <w:color w:val="000000"/>
                <w:kern w:val="0"/>
                <w:sz w:val="28"/>
                <w:szCs w:val="28"/>
              </w:rPr>
              <w:t>29</w:t>
            </w:r>
            <w:r>
              <w:rPr>
                <w:rFonts w:eastAsia="仿宋_GB2312"/>
                <w:snapToGrid w:val="0"/>
                <w:color w:val="000000"/>
                <w:kern w:val="0"/>
                <w:sz w:val="28"/>
                <w:szCs w:val="28"/>
              </w:rPr>
              <w:t>日</w:t>
            </w:r>
          </w:p>
        </w:tc>
        <w:tc>
          <w:tcPr>
            <w:tcW w:w="2130" w:type="dxa"/>
            <w:vAlign w:val="center"/>
          </w:tcPr>
          <w:p>
            <w:pPr>
              <w:widowControl/>
              <w:kinsoku w:val="0"/>
              <w:autoSpaceDE w:val="0"/>
              <w:autoSpaceDN w:val="0"/>
              <w:adjustRightInd w:val="0"/>
              <w:snapToGrid w:val="0"/>
              <w:spacing w:line="560" w:lineRule="exact"/>
              <w:jc w:val="center"/>
              <w:textAlignment w:val="baseline"/>
              <w:rPr>
                <w:rFonts w:eastAsia="仿宋_GB2312"/>
                <w:snapToGrid w:val="0"/>
                <w:color w:val="000000"/>
                <w:kern w:val="0"/>
                <w:sz w:val="28"/>
                <w:szCs w:val="28"/>
              </w:rPr>
            </w:pPr>
            <w:r>
              <w:rPr>
                <w:rFonts w:eastAsia="仿宋_GB2312"/>
                <w:snapToGrid w:val="0"/>
                <w:color w:val="000000"/>
                <w:kern w:val="0"/>
                <w:sz w:val="28"/>
                <w:szCs w:val="28"/>
              </w:rPr>
              <w:t>8:00-9:00</w:t>
            </w:r>
          </w:p>
        </w:tc>
        <w:tc>
          <w:tcPr>
            <w:tcW w:w="4597" w:type="dxa"/>
            <w:vAlign w:val="center"/>
          </w:tcPr>
          <w:p>
            <w:pPr>
              <w:rPr>
                <w:rFonts w:hint="eastAsia" w:eastAsia="仿宋_GB2312"/>
                <w:snapToGrid w:val="0"/>
                <w:color w:val="000000"/>
                <w:kern w:val="0"/>
                <w:sz w:val="28"/>
                <w:szCs w:val="28"/>
              </w:rPr>
            </w:pPr>
            <w:r>
              <w:rPr>
                <w:rFonts w:eastAsia="仿宋_GB2312"/>
                <w:snapToGrid w:val="0"/>
                <w:color w:val="000000"/>
                <w:kern w:val="0"/>
                <w:sz w:val="28"/>
                <w:szCs w:val="28"/>
              </w:rPr>
              <w:t>开幕式</w:t>
            </w:r>
            <w:r>
              <w:rPr>
                <w:rFonts w:hint="eastAsia" w:eastAsia="仿宋_GB2312"/>
                <w:snapToGrid w:val="0"/>
                <w:color w:val="000000"/>
                <w:kern w:val="0"/>
                <w:sz w:val="28"/>
                <w:szCs w:val="28"/>
              </w:rPr>
              <w:t>暨首届制造业当家论坛（8：0</w:t>
            </w:r>
            <w:r>
              <w:rPr>
                <w:rFonts w:eastAsia="仿宋_GB2312"/>
                <w:snapToGrid w:val="0"/>
                <w:color w:val="000000"/>
                <w:kern w:val="0"/>
                <w:sz w:val="28"/>
                <w:szCs w:val="28"/>
              </w:rPr>
              <w:t>0-11</w:t>
            </w:r>
            <w:r>
              <w:rPr>
                <w:rFonts w:hint="eastAsia" w:eastAsia="仿宋_GB2312"/>
                <w:snapToGrid w:val="0"/>
                <w:color w:val="000000"/>
                <w:kern w:val="0"/>
                <w:sz w:val="28"/>
                <w:szCs w:val="28"/>
              </w:rPr>
              <w:t>：3</w:t>
            </w:r>
            <w:r>
              <w:rPr>
                <w:rFonts w:eastAsia="仿宋_GB2312"/>
                <w:snapToGrid w:val="0"/>
                <w:color w:val="000000"/>
                <w:kern w:val="0"/>
                <w:sz w:val="28"/>
                <w:szCs w:val="28"/>
              </w:rPr>
              <w:t>0</w:t>
            </w:r>
            <w:r>
              <w:rPr>
                <w:rFonts w:hint="eastAsia" w:eastAsia="仿宋_GB2312"/>
                <w:snapToGrid w:val="0"/>
                <w:color w:val="000000"/>
                <w:kern w:val="0"/>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569" w:type="dxa"/>
            <w:vMerge w:val="continue"/>
            <w:vAlign w:val="center"/>
          </w:tcPr>
          <w:p>
            <w:pPr>
              <w:widowControl/>
              <w:kinsoku w:val="0"/>
              <w:autoSpaceDE w:val="0"/>
              <w:autoSpaceDN w:val="0"/>
              <w:adjustRightInd w:val="0"/>
              <w:snapToGrid w:val="0"/>
              <w:spacing w:line="560" w:lineRule="exact"/>
              <w:jc w:val="center"/>
              <w:textAlignment w:val="baseline"/>
              <w:rPr>
                <w:rFonts w:eastAsia="仿宋_GB2312"/>
                <w:snapToGrid w:val="0"/>
                <w:color w:val="000000"/>
                <w:kern w:val="0"/>
                <w:sz w:val="28"/>
                <w:szCs w:val="28"/>
              </w:rPr>
            </w:pPr>
          </w:p>
        </w:tc>
        <w:tc>
          <w:tcPr>
            <w:tcW w:w="2130" w:type="dxa"/>
            <w:vAlign w:val="center"/>
          </w:tcPr>
          <w:p>
            <w:pPr>
              <w:widowControl/>
              <w:kinsoku w:val="0"/>
              <w:autoSpaceDE w:val="0"/>
              <w:autoSpaceDN w:val="0"/>
              <w:adjustRightInd w:val="0"/>
              <w:snapToGrid w:val="0"/>
              <w:spacing w:line="560" w:lineRule="exact"/>
              <w:jc w:val="center"/>
              <w:textAlignment w:val="baseline"/>
              <w:rPr>
                <w:rFonts w:eastAsia="仿宋_GB2312"/>
                <w:snapToGrid w:val="0"/>
                <w:color w:val="000000"/>
                <w:kern w:val="0"/>
                <w:sz w:val="28"/>
                <w:szCs w:val="28"/>
              </w:rPr>
            </w:pPr>
            <w:r>
              <w:rPr>
                <w:rFonts w:eastAsia="仿宋_GB2312"/>
                <w:snapToGrid w:val="0"/>
                <w:color w:val="000000"/>
                <w:kern w:val="0"/>
                <w:sz w:val="28"/>
                <w:szCs w:val="28"/>
              </w:rPr>
              <w:t>9:00-9:30</w:t>
            </w:r>
          </w:p>
        </w:tc>
        <w:tc>
          <w:tcPr>
            <w:tcW w:w="4597" w:type="dxa"/>
            <w:vAlign w:val="center"/>
          </w:tcPr>
          <w:p>
            <w:pPr>
              <w:widowControl/>
              <w:kinsoku w:val="0"/>
              <w:autoSpaceDE w:val="0"/>
              <w:autoSpaceDN w:val="0"/>
              <w:adjustRightInd w:val="0"/>
              <w:snapToGrid w:val="0"/>
              <w:spacing w:line="560" w:lineRule="exact"/>
              <w:jc w:val="left"/>
              <w:textAlignment w:val="baseline"/>
              <w:rPr>
                <w:rFonts w:hint="eastAsia" w:eastAsia="仿宋_GB2312"/>
                <w:snapToGrid w:val="0"/>
                <w:color w:val="000000"/>
                <w:kern w:val="0"/>
                <w:sz w:val="28"/>
                <w:szCs w:val="28"/>
              </w:rPr>
            </w:pPr>
            <w:r>
              <w:rPr>
                <w:rFonts w:eastAsia="仿宋_GB2312"/>
                <w:snapToGrid w:val="0"/>
                <w:color w:val="000000"/>
                <w:kern w:val="0"/>
                <w:sz w:val="28"/>
                <w:szCs w:val="28"/>
              </w:rPr>
              <w:t>检录</w:t>
            </w:r>
            <w:r>
              <w:rPr>
                <w:rFonts w:hint="eastAsia" w:eastAsia="仿宋_GB2312"/>
                <w:snapToGrid w:val="0"/>
                <w:color w:val="000000"/>
                <w:kern w:val="0"/>
                <w:sz w:val="28"/>
                <w:szCs w:val="28"/>
              </w:rPr>
              <w:t>（职工组 14:00-14:30）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569" w:type="dxa"/>
            <w:vMerge w:val="continue"/>
            <w:vAlign w:val="center"/>
          </w:tcPr>
          <w:p>
            <w:pPr>
              <w:widowControl/>
              <w:kinsoku w:val="0"/>
              <w:autoSpaceDE w:val="0"/>
              <w:autoSpaceDN w:val="0"/>
              <w:adjustRightInd w:val="0"/>
              <w:snapToGrid w:val="0"/>
              <w:spacing w:line="560" w:lineRule="exact"/>
              <w:jc w:val="center"/>
              <w:textAlignment w:val="baseline"/>
              <w:rPr>
                <w:rFonts w:eastAsia="仿宋_GB2312"/>
                <w:snapToGrid w:val="0"/>
                <w:color w:val="000000"/>
                <w:kern w:val="0"/>
                <w:sz w:val="28"/>
                <w:szCs w:val="28"/>
              </w:rPr>
            </w:pPr>
          </w:p>
        </w:tc>
        <w:tc>
          <w:tcPr>
            <w:tcW w:w="2130" w:type="dxa"/>
            <w:vAlign w:val="center"/>
          </w:tcPr>
          <w:p>
            <w:pPr>
              <w:widowControl/>
              <w:kinsoku w:val="0"/>
              <w:autoSpaceDE w:val="0"/>
              <w:autoSpaceDN w:val="0"/>
              <w:adjustRightInd w:val="0"/>
              <w:snapToGrid w:val="0"/>
              <w:spacing w:line="560" w:lineRule="exact"/>
              <w:jc w:val="center"/>
              <w:textAlignment w:val="baseline"/>
              <w:rPr>
                <w:rFonts w:eastAsia="仿宋_GB2312"/>
                <w:snapToGrid w:val="0"/>
                <w:color w:val="000000"/>
                <w:kern w:val="0"/>
                <w:sz w:val="28"/>
                <w:szCs w:val="28"/>
              </w:rPr>
            </w:pPr>
            <w:r>
              <w:rPr>
                <w:rFonts w:eastAsia="仿宋_GB2312"/>
                <w:snapToGrid w:val="0"/>
                <w:color w:val="000000"/>
                <w:kern w:val="0"/>
                <w:sz w:val="28"/>
                <w:szCs w:val="28"/>
              </w:rPr>
              <w:t>9:30-17:30</w:t>
            </w:r>
          </w:p>
        </w:tc>
        <w:tc>
          <w:tcPr>
            <w:tcW w:w="4597" w:type="dxa"/>
            <w:vAlign w:val="center"/>
          </w:tcPr>
          <w:p>
            <w:pPr>
              <w:widowControl/>
              <w:kinsoku w:val="0"/>
              <w:autoSpaceDE w:val="0"/>
              <w:autoSpaceDN w:val="0"/>
              <w:adjustRightInd w:val="0"/>
              <w:snapToGrid w:val="0"/>
              <w:spacing w:line="560" w:lineRule="exact"/>
              <w:jc w:val="left"/>
              <w:textAlignment w:val="baseline"/>
              <w:rPr>
                <w:rFonts w:eastAsia="仿宋_GB2312"/>
                <w:snapToGrid w:val="0"/>
                <w:color w:val="000000"/>
                <w:kern w:val="0"/>
                <w:sz w:val="28"/>
                <w:szCs w:val="28"/>
                <w:lang w:eastAsia="zh-Hans"/>
              </w:rPr>
            </w:pPr>
            <w:r>
              <w:rPr>
                <w:rFonts w:eastAsia="仿宋_GB2312"/>
                <w:snapToGrid w:val="0"/>
                <w:color w:val="000000"/>
                <w:kern w:val="0"/>
                <w:sz w:val="28"/>
                <w:szCs w:val="28"/>
              </w:rPr>
              <w:t>实操竞赛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569" w:type="dxa"/>
            <w:vMerge w:val="continue"/>
            <w:vAlign w:val="center"/>
          </w:tcPr>
          <w:p>
            <w:pPr>
              <w:widowControl/>
              <w:kinsoku w:val="0"/>
              <w:autoSpaceDE w:val="0"/>
              <w:autoSpaceDN w:val="0"/>
              <w:adjustRightInd w:val="0"/>
              <w:snapToGrid w:val="0"/>
              <w:spacing w:line="560" w:lineRule="exact"/>
              <w:jc w:val="center"/>
              <w:textAlignment w:val="baseline"/>
              <w:rPr>
                <w:rFonts w:eastAsia="仿宋_GB2312"/>
                <w:snapToGrid w:val="0"/>
                <w:color w:val="000000"/>
                <w:kern w:val="0"/>
                <w:sz w:val="28"/>
                <w:szCs w:val="28"/>
              </w:rPr>
            </w:pPr>
          </w:p>
        </w:tc>
        <w:tc>
          <w:tcPr>
            <w:tcW w:w="2130" w:type="dxa"/>
            <w:vAlign w:val="center"/>
          </w:tcPr>
          <w:p>
            <w:pPr>
              <w:widowControl/>
              <w:kinsoku w:val="0"/>
              <w:autoSpaceDE w:val="0"/>
              <w:autoSpaceDN w:val="0"/>
              <w:adjustRightInd w:val="0"/>
              <w:snapToGrid w:val="0"/>
              <w:spacing w:line="560" w:lineRule="exact"/>
              <w:jc w:val="center"/>
              <w:textAlignment w:val="baseline"/>
              <w:rPr>
                <w:rFonts w:eastAsia="仿宋_GB2312"/>
                <w:snapToGrid w:val="0"/>
                <w:color w:val="000000"/>
                <w:kern w:val="0"/>
                <w:sz w:val="28"/>
                <w:szCs w:val="28"/>
              </w:rPr>
            </w:pPr>
            <w:r>
              <w:rPr>
                <w:rFonts w:eastAsia="仿宋_GB2312"/>
                <w:snapToGrid w:val="0"/>
                <w:color w:val="000000"/>
                <w:kern w:val="0"/>
                <w:sz w:val="28"/>
                <w:szCs w:val="28"/>
              </w:rPr>
              <w:t>17:30-20:00</w:t>
            </w:r>
          </w:p>
        </w:tc>
        <w:tc>
          <w:tcPr>
            <w:tcW w:w="4597" w:type="dxa"/>
            <w:vAlign w:val="center"/>
          </w:tcPr>
          <w:p>
            <w:pPr>
              <w:widowControl/>
              <w:kinsoku w:val="0"/>
              <w:autoSpaceDE w:val="0"/>
              <w:autoSpaceDN w:val="0"/>
              <w:adjustRightInd w:val="0"/>
              <w:snapToGrid w:val="0"/>
              <w:spacing w:line="560" w:lineRule="exact"/>
              <w:jc w:val="left"/>
              <w:textAlignment w:val="baseline"/>
              <w:rPr>
                <w:rFonts w:eastAsia="仿宋_GB2312"/>
                <w:snapToGrid w:val="0"/>
                <w:color w:val="000000"/>
                <w:kern w:val="0"/>
                <w:sz w:val="28"/>
                <w:szCs w:val="28"/>
              </w:rPr>
            </w:pPr>
            <w:r>
              <w:rPr>
                <w:rFonts w:eastAsia="仿宋_GB2312"/>
                <w:snapToGrid w:val="0"/>
                <w:color w:val="000000"/>
                <w:kern w:val="0"/>
                <w:sz w:val="28"/>
                <w:szCs w:val="28"/>
              </w:rPr>
              <w:t>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569" w:type="dxa"/>
            <w:vMerge w:val="restart"/>
            <w:vAlign w:val="center"/>
          </w:tcPr>
          <w:p>
            <w:pPr>
              <w:widowControl/>
              <w:kinsoku w:val="0"/>
              <w:autoSpaceDE w:val="0"/>
              <w:autoSpaceDN w:val="0"/>
              <w:adjustRightInd w:val="0"/>
              <w:snapToGrid w:val="0"/>
              <w:spacing w:line="560" w:lineRule="exact"/>
              <w:jc w:val="center"/>
              <w:textAlignment w:val="baseline"/>
              <w:rPr>
                <w:rFonts w:eastAsia="仿宋_GB2312"/>
                <w:snapToGrid w:val="0"/>
                <w:color w:val="000000"/>
                <w:kern w:val="0"/>
                <w:sz w:val="28"/>
                <w:szCs w:val="28"/>
              </w:rPr>
            </w:pPr>
            <w:r>
              <w:rPr>
                <w:rFonts w:eastAsia="仿宋_GB2312"/>
                <w:snapToGrid w:val="0"/>
                <w:color w:val="000000"/>
                <w:kern w:val="0"/>
                <w:sz w:val="28"/>
                <w:szCs w:val="28"/>
              </w:rPr>
              <w:t>1</w:t>
            </w:r>
            <w:r>
              <w:rPr>
                <w:rFonts w:hint="eastAsia" w:eastAsia="仿宋_GB2312"/>
                <w:snapToGrid w:val="0"/>
                <w:color w:val="000000"/>
                <w:kern w:val="0"/>
                <w:sz w:val="28"/>
                <w:szCs w:val="28"/>
              </w:rPr>
              <w:t>0</w:t>
            </w:r>
            <w:r>
              <w:rPr>
                <w:rFonts w:eastAsia="仿宋_GB2312"/>
                <w:snapToGrid w:val="0"/>
                <w:color w:val="000000"/>
                <w:kern w:val="0"/>
                <w:sz w:val="28"/>
                <w:szCs w:val="28"/>
              </w:rPr>
              <w:t>月3</w:t>
            </w:r>
            <w:r>
              <w:rPr>
                <w:rFonts w:hint="eastAsia" w:eastAsia="仿宋_GB2312"/>
                <w:snapToGrid w:val="0"/>
                <w:color w:val="000000"/>
                <w:kern w:val="0"/>
                <w:sz w:val="28"/>
                <w:szCs w:val="28"/>
              </w:rPr>
              <w:t>0</w:t>
            </w:r>
            <w:r>
              <w:rPr>
                <w:rFonts w:eastAsia="仿宋_GB2312"/>
                <w:snapToGrid w:val="0"/>
                <w:color w:val="000000"/>
                <w:kern w:val="0"/>
                <w:sz w:val="28"/>
                <w:szCs w:val="28"/>
              </w:rPr>
              <w:t>日</w:t>
            </w:r>
          </w:p>
        </w:tc>
        <w:tc>
          <w:tcPr>
            <w:tcW w:w="2130" w:type="dxa"/>
            <w:vAlign w:val="center"/>
          </w:tcPr>
          <w:p>
            <w:pPr>
              <w:widowControl/>
              <w:kinsoku w:val="0"/>
              <w:autoSpaceDE w:val="0"/>
              <w:autoSpaceDN w:val="0"/>
              <w:adjustRightInd w:val="0"/>
              <w:snapToGrid w:val="0"/>
              <w:spacing w:line="560" w:lineRule="exact"/>
              <w:jc w:val="center"/>
              <w:textAlignment w:val="baseline"/>
              <w:rPr>
                <w:rFonts w:eastAsia="仿宋_GB2312"/>
                <w:snapToGrid w:val="0"/>
                <w:color w:val="000000"/>
                <w:kern w:val="0"/>
                <w:sz w:val="28"/>
                <w:szCs w:val="28"/>
              </w:rPr>
            </w:pPr>
            <w:r>
              <w:rPr>
                <w:rFonts w:eastAsia="仿宋_GB2312"/>
                <w:snapToGrid w:val="0"/>
                <w:color w:val="000000"/>
                <w:kern w:val="0"/>
                <w:sz w:val="28"/>
                <w:szCs w:val="28"/>
              </w:rPr>
              <w:t>9:00-10:00</w:t>
            </w:r>
          </w:p>
        </w:tc>
        <w:tc>
          <w:tcPr>
            <w:tcW w:w="4597" w:type="dxa"/>
            <w:vAlign w:val="center"/>
          </w:tcPr>
          <w:p>
            <w:pPr>
              <w:widowControl/>
              <w:kinsoku w:val="0"/>
              <w:autoSpaceDE w:val="0"/>
              <w:autoSpaceDN w:val="0"/>
              <w:adjustRightInd w:val="0"/>
              <w:snapToGrid w:val="0"/>
              <w:spacing w:line="560" w:lineRule="exact"/>
              <w:jc w:val="left"/>
              <w:textAlignment w:val="baseline"/>
              <w:rPr>
                <w:rFonts w:eastAsia="仿宋_GB2312"/>
                <w:snapToGrid w:val="0"/>
                <w:color w:val="000000"/>
                <w:kern w:val="0"/>
                <w:sz w:val="28"/>
                <w:szCs w:val="28"/>
              </w:rPr>
            </w:pPr>
            <w:r>
              <w:rPr>
                <w:rFonts w:eastAsia="仿宋_GB2312"/>
                <w:snapToGrid w:val="0"/>
                <w:color w:val="000000"/>
                <w:kern w:val="0"/>
                <w:sz w:val="28"/>
                <w:szCs w:val="28"/>
              </w:rPr>
              <w:t>宣布竞赛成绩、技术点评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569" w:type="dxa"/>
            <w:vMerge w:val="continue"/>
            <w:vAlign w:val="center"/>
          </w:tcPr>
          <w:p>
            <w:pPr>
              <w:widowControl/>
              <w:kinsoku w:val="0"/>
              <w:autoSpaceDE w:val="0"/>
              <w:autoSpaceDN w:val="0"/>
              <w:adjustRightInd w:val="0"/>
              <w:snapToGrid w:val="0"/>
              <w:spacing w:line="560" w:lineRule="exact"/>
              <w:jc w:val="center"/>
              <w:textAlignment w:val="baseline"/>
              <w:rPr>
                <w:rFonts w:eastAsia="仿宋_GB2312"/>
                <w:snapToGrid w:val="0"/>
                <w:color w:val="000000"/>
                <w:kern w:val="0"/>
                <w:sz w:val="28"/>
                <w:szCs w:val="28"/>
              </w:rPr>
            </w:pPr>
          </w:p>
        </w:tc>
        <w:tc>
          <w:tcPr>
            <w:tcW w:w="2130" w:type="dxa"/>
            <w:vAlign w:val="center"/>
          </w:tcPr>
          <w:p>
            <w:pPr>
              <w:widowControl/>
              <w:kinsoku w:val="0"/>
              <w:autoSpaceDE w:val="0"/>
              <w:autoSpaceDN w:val="0"/>
              <w:adjustRightInd w:val="0"/>
              <w:snapToGrid w:val="0"/>
              <w:spacing w:line="560" w:lineRule="exact"/>
              <w:jc w:val="center"/>
              <w:textAlignment w:val="baseline"/>
              <w:rPr>
                <w:rFonts w:eastAsia="仿宋_GB2312"/>
                <w:snapToGrid w:val="0"/>
                <w:color w:val="000000"/>
                <w:kern w:val="0"/>
                <w:sz w:val="28"/>
                <w:szCs w:val="28"/>
              </w:rPr>
            </w:pPr>
            <w:r>
              <w:rPr>
                <w:rFonts w:eastAsia="仿宋_GB2312"/>
                <w:snapToGrid w:val="0"/>
                <w:color w:val="000000"/>
                <w:kern w:val="0"/>
                <w:sz w:val="28"/>
                <w:szCs w:val="28"/>
              </w:rPr>
              <w:t>10:00-11:00</w:t>
            </w:r>
          </w:p>
        </w:tc>
        <w:tc>
          <w:tcPr>
            <w:tcW w:w="4597" w:type="dxa"/>
            <w:vAlign w:val="center"/>
          </w:tcPr>
          <w:p>
            <w:pPr>
              <w:widowControl/>
              <w:kinsoku w:val="0"/>
              <w:autoSpaceDE w:val="0"/>
              <w:autoSpaceDN w:val="0"/>
              <w:adjustRightInd w:val="0"/>
              <w:snapToGrid w:val="0"/>
              <w:spacing w:line="560" w:lineRule="exact"/>
              <w:jc w:val="left"/>
              <w:textAlignment w:val="baseline"/>
              <w:rPr>
                <w:rFonts w:eastAsia="仿宋_GB2312"/>
                <w:snapToGrid w:val="0"/>
                <w:color w:val="000000"/>
                <w:kern w:val="0"/>
                <w:sz w:val="28"/>
                <w:szCs w:val="28"/>
              </w:rPr>
            </w:pPr>
            <w:r>
              <w:rPr>
                <w:rFonts w:eastAsia="仿宋_GB2312"/>
                <w:snapToGrid w:val="0"/>
                <w:color w:val="000000"/>
                <w:kern w:val="0"/>
                <w:sz w:val="28"/>
                <w:szCs w:val="28"/>
              </w:rPr>
              <w:t>闭幕式</w:t>
            </w:r>
          </w:p>
        </w:tc>
      </w:tr>
    </w:tbl>
    <w:p>
      <w:pPr>
        <w:pStyle w:val="3"/>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八、大赛赛题</w:t>
      </w:r>
    </w:p>
    <w:p>
      <w:pPr>
        <w:pStyle w:val="3"/>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网络与信息安全管理员S（工业互联网安全）</w:t>
      </w:r>
      <w:r>
        <w:rPr>
          <w:rFonts w:ascii="Times New Roman" w:hAnsi="Times New Roman" w:eastAsia="仿宋_GB2312"/>
          <w:sz w:val="32"/>
          <w:szCs w:val="32"/>
        </w:rPr>
        <w:t>赛项办公室将在2023年10月</w:t>
      </w:r>
      <w:r>
        <w:rPr>
          <w:rFonts w:hint="eastAsia" w:ascii="Times New Roman" w:hAnsi="Times New Roman" w:eastAsia="仿宋_GB2312"/>
          <w:sz w:val="32"/>
          <w:szCs w:val="32"/>
        </w:rPr>
        <w:t>18日</w:t>
      </w:r>
      <w:r>
        <w:rPr>
          <w:rFonts w:ascii="Times New Roman" w:hAnsi="Times New Roman" w:eastAsia="仿宋_GB2312"/>
          <w:sz w:val="32"/>
          <w:szCs w:val="32"/>
        </w:rPr>
        <w:t>组织技术说明会。广东省工业和信息化厅官方网站将发布比赛样题及大赛所使用相关软件(网址为http://gdii.gd.gov.cn)。</w:t>
      </w:r>
    </w:p>
    <w:p>
      <w:pPr>
        <w:pStyle w:val="3"/>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由专家组负责建立卷库（每套赛卷考核知识点与样卷公布知识点相同 , 每套赛卷与样卷存在约50%变动），比赛时从卷库中随机抽取1份作为正式比赛赛卷。</w:t>
      </w:r>
    </w:p>
    <w:p>
      <w:pPr>
        <w:pStyle w:val="3"/>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九、大赛评分标准制定原则、评分方法、评分细则及技术规范</w:t>
      </w:r>
    </w:p>
    <w:p>
      <w:pPr>
        <w:pStyle w:val="3"/>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（一）评分标准制定原则</w:t>
      </w:r>
    </w:p>
    <w:p>
      <w:pPr>
        <w:pStyle w:val="3"/>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依据参赛选手完成的情况实施综合评定。按照技能大赛技术裁判组制定的考核标准进行评分，全面评价参赛选手职业能力的要求，本着“科学严谨、公正公平、可操作性强、突出工匠精神”的原则制定评分标准。</w:t>
      </w:r>
    </w:p>
    <w:p>
      <w:pPr>
        <w:pStyle w:val="3"/>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（二） 评分方法</w:t>
      </w:r>
    </w:p>
    <w:p>
      <w:pPr>
        <w:pStyle w:val="3"/>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1.基本评定方法</w:t>
      </w:r>
    </w:p>
    <w:p>
      <w:pPr>
        <w:pStyle w:val="3"/>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裁判组在坚持“公平、公正、公开、科学、规范”的原则下，各负其责，按照制订的评分细则进行评分。</w:t>
      </w:r>
    </w:p>
    <w:p>
      <w:pPr>
        <w:pStyle w:val="3"/>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现场评分：裁判组在比赛过程中对参赛选手的安全文明生产以及系统安装调试情况进行观察和评价进行现场评分。</w:t>
      </w:r>
    </w:p>
    <w:p>
      <w:pPr>
        <w:pStyle w:val="3"/>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结果评分：比赛结束后，裁判组根据参赛选手提交的比赛结果进行评分。</w:t>
      </w:r>
    </w:p>
    <w:p>
      <w:pPr>
        <w:pStyle w:val="3"/>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成绩汇总：比赛成绩经过加密裁判组解密后进行加权计算，确定最终比赛成绩，经总裁判长审核、仲裁组长复核后签字确认。</w:t>
      </w:r>
    </w:p>
    <w:p>
      <w:pPr>
        <w:pStyle w:val="3"/>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2.相同成绩处理</w:t>
      </w:r>
    </w:p>
    <w:p>
      <w:pPr>
        <w:pStyle w:val="3"/>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总成绩相同时，以实操总成绩得分高的名次在前；总成绩和实操比赛总成绩相同时，理论考试的提交时间短者在前。</w:t>
      </w:r>
    </w:p>
    <w:p>
      <w:pPr>
        <w:pStyle w:val="3"/>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（三） 评分细则（评分指标）</w:t>
      </w:r>
    </w:p>
    <w:p>
      <w:pPr>
        <w:pStyle w:val="3"/>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1．理论考试部分评分</w:t>
      </w:r>
    </w:p>
    <w:p>
      <w:pPr>
        <w:pStyle w:val="3"/>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理论知识竞赛总分100分，各题型分值占比分别为单项选择题（40分）、多项选择题（45分）和判断题（15分）。</w:t>
      </w:r>
    </w:p>
    <w:p>
      <w:pPr>
        <w:pStyle w:val="3"/>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2.实践操作部分评分</w:t>
      </w:r>
    </w:p>
    <w:p>
      <w:pPr>
        <w:pStyle w:val="3"/>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实际操作竞赛总分100分，评分细则见表4。</w:t>
      </w:r>
    </w:p>
    <w:p>
      <w:pPr>
        <w:spacing w:line="560" w:lineRule="exact"/>
        <w:ind w:firstLine="560" w:firstLineChars="200"/>
        <w:jc w:val="center"/>
        <w:rPr>
          <w:rFonts w:eastAsia="仿宋_GB2312"/>
          <w:sz w:val="28"/>
          <w:szCs w:val="28"/>
        </w:rPr>
      </w:pPr>
      <w:r>
        <w:rPr>
          <w:rFonts w:eastAsia="仿宋_GB2312"/>
          <w:sz w:val="28"/>
          <w:szCs w:val="28"/>
        </w:rPr>
        <w:t>表</w:t>
      </w:r>
      <w:r>
        <w:rPr>
          <w:rFonts w:hint="eastAsia" w:eastAsia="仿宋_GB2312"/>
          <w:sz w:val="28"/>
          <w:szCs w:val="28"/>
        </w:rPr>
        <w:t>4</w:t>
      </w:r>
      <w:r>
        <w:rPr>
          <w:rFonts w:eastAsia="仿宋_GB2312"/>
          <w:sz w:val="28"/>
          <w:szCs w:val="28"/>
        </w:rPr>
        <w:t xml:space="preserve">：评分细则 </w:t>
      </w:r>
    </w:p>
    <w:tbl>
      <w:tblPr>
        <w:tblStyle w:val="6"/>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48" w:type="dxa"/>
            <w:vAlign w:val="center"/>
          </w:tcPr>
          <w:p>
            <w:pPr>
              <w:jc w:val="center"/>
              <w:rPr>
                <w:rFonts w:ascii="仿宋_GB2312" w:hAnsi="仿宋_GB2312" w:eastAsia="仿宋_GB2312" w:cs="仿宋_GB2312"/>
                <w:spacing w:val="-3"/>
                <w:kern w:val="0"/>
                <w:sz w:val="28"/>
                <w:szCs w:val="28"/>
              </w:rPr>
            </w:pPr>
            <w:r>
              <w:rPr>
                <w:rFonts w:hint="eastAsia" w:ascii="仿宋_GB2312" w:hAnsi="仿宋_GB2312" w:eastAsia="仿宋_GB2312" w:cs="仿宋_GB2312"/>
                <w:spacing w:val="-3"/>
                <w:kern w:val="0"/>
                <w:sz w:val="28"/>
                <w:szCs w:val="28"/>
              </w:rPr>
              <w:t>一级指标</w:t>
            </w:r>
          </w:p>
        </w:tc>
        <w:tc>
          <w:tcPr>
            <w:tcW w:w="4148" w:type="dxa"/>
            <w:vAlign w:val="center"/>
          </w:tcPr>
          <w:p>
            <w:pPr>
              <w:jc w:val="center"/>
              <w:rPr>
                <w:rFonts w:ascii="仿宋_GB2312" w:hAnsi="仿宋_GB2312" w:eastAsia="仿宋_GB2312" w:cs="仿宋_GB2312"/>
                <w:spacing w:val="-3"/>
                <w:kern w:val="0"/>
                <w:sz w:val="28"/>
                <w:szCs w:val="28"/>
              </w:rPr>
            </w:pPr>
            <w:r>
              <w:rPr>
                <w:rFonts w:hint="eastAsia" w:ascii="仿宋_GB2312" w:hAnsi="仿宋_GB2312" w:eastAsia="仿宋_GB2312" w:cs="仿宋_GB2312"/>
                <w:spacing w:val="-3"/>
                <w:kern w:val="0"/>
                <w:sz w:val="28"/>
                <w:szCs w:val="28"/>
              </w:rPr>
              <w:t>二级指标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48" w:type="dxa"/>
            <w:vMerge w:val="restart"/>
            <w:vAlign w:val="center"/>
          </w:tcPr>
          <w:p>
            <w:pPr>
              <w:jc w:val="center"/>
              <w:rPr>
                <w:rFonts w:ascii="仿宋_GB2312" w:hAnsi="仿宋_GB2312" w:eastAsia="仿宋_GB2312" w:cs="仿宋_GB2312"/>
                <w:spacing w:val="-3"/>
                <w:kern w:val="0"/>
                <w:sz w:val="28"/>
                <w:szCs w:val="28"/>
              </w:rPr>
            </w:pPr>
            <w:r>
              <w:rPr>
                <w:rFonts w:hint="eastAsia" w:ascii="仿宋_GB2312" w:hAnsi="仿宋_GB2312" w:eastAsia="仿宋_GB2312" w:cs="仿宋_GB2312"/>
                <w:spacing w:val="-3"/>
                <w:kern w:val="0"/>
                <w:sz w:val="28"/>
                <w:szCs w:val="28"/>
              </w:rPr>
              <w:t>网络架构安全设计（1</w:t>
            </w:r>
            <w:r>
              <w:rPr>
                <w:rFonts w:ascii="仿宋_GB2312" w:hAnsi="仿宋_GB2312" w:eastAsia="仿宋_GB2312" w:cs="仿宋_GB2312"/>
                <w:spacing w:val="-3"/>
                <w:kern w:val="0"/>
                <w:sz w:val="28"/>
                <w:szCs w:val="28"/>
              </w:rPr>
              <w:t>5</w:t>
            </w:r>
            <w:r>
              <w:rPr>
                <w:rFonts w:hint="eastAsia" w:ascii="仿宋_GB2312" w:hAnsi="仿宋_GB2312" w:eastAsia="仿宋_GB2312" w:cs="仿宋_GB2312"/>
                <w:spacing w:val="-3"/>
                <w:kern w:val="0"/>
                <w:sz w:val="28"/>
                <w:szCs w:val="28"/>
              </w:rPr>
              <w:t>分）</w:t>
            </w:r>
          </w:p>
        </w:tc>
        <w:tc>
          <w:tcPr>
            <w:tcW w:w="4148" w:type="dxa"/>
            <w:vAlign w:val="center"/>
          </w:tcPr>
          <w:p>
            <w:pPr>
              <w:rPr>
                <w:rFonts w:ascii="仿宋_GB2312" w:hAnsi="仿宋_GB2312" w:eastAsia="仿宋_GB2312" w:cs="仿宋_GB2312"/>
                <w:spacing w:val="-3"/>
                <w:kern w:val="0"/>
                <w:sz w:val="28"/>
                <w:szCs w:val="28"/>
              </w:rPr>
            </w:pPr>
            <w:r>
              <w:rPr>
                <w:rFonts w:hint="eastAsia" w:ascii="仿宋_GB2312" w:hAnsi="仿宋_GB2312" w:eastAsia="仿宋_GB2312" w:cs="仿宋_GB2312"/>
                <w:spacing w:val="-3"/>
                <w:kern w:val="0"/>
                <w:sz w:val="28"/>
                <w:szCs w:val="28"/>
              </w:rPr>
              <w:t>网络拓扑构建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48" w:type="dxa"/>
            <w:vMerge w:val="continue"/>
            <w:vAlign w:val="center"/>
          </w:tcPr>
          <w:p>
            <w:pPr>
              <w:jc w:val="center"/>
              <w:rPr>
                <w:rFonts w:ascii="仿宋_GB2312" w:hAnsi="仿宋_GB2312" w:eastAsia="仿宋_GB2312" w:cs="仿宋_GB2312"/>
                <w:spacing w:val="-3"/>
                <w:kern w:val="0"/>
                <w:sz w:val="28"/>
                <w:szCs w:val="28"/>
              </w:rPr>
            </w:pPr>
          </w:p>
        </w:tc>
        <w:tc>
          <w:tcPr>
            <w:tcW w:w="4148" w:type="dxa"/>
            <w:vAlign w:val="center"/>
          </w:tcPr>
          <w:p>
            <w:pPr>
              <w:rPr>
                <w:rFonts w:ascii="仿宋_GB2312" w:hAnsi="仿宋_GB2312" w:eastAsia="仿宋_GB2312" w:cs="仿宋_GB2312"/>
                <w:spacing w:val="-3"/>
                <w:kern w:val="0"/>
                <w:sz w:val="28"/>
                <w:szCs w:val="28"/>
              </w:rPr>
            </w:pPr>
            <w:r>
              <w:rPr>
                <w:rFonts w:hint="eastAsia" w:ascii="仿宋_GB2312" w:hAnsi="仿宋_GB2312" w:eastAsia="仿宋_GB2312" w:cs="仿宋_GB2312"/>
                <w:spacing w:val="-3"/>
                <w:kern w:val="0"/>
                <w:sz w:val="28"/>
                <w:szCs w:val="28"/>
              </w:rPr>
              <w:t>网络设备配置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48" w:type="dxa"/>
            <w:vMerge w:val="continue"/>
            <w:vAlign w:val="center"/>
          </w:tcPr>
          <w:p>
            <w:pPr>
              <w:jc w:val="center"/>
              <w:rPr>
                <w:rFonts w:ascii="仿宋_GB2312" w:hAnsi="仿宋_GB2312" w:eastAsia="仿宋_GB2312" w:cs="仿宋_GB2312"/>
                <w:spacing w:val="-3"/>
                <w:kern w:val="0"/>
                <w:sz w:val="28"/>
                <w:szCs w:val="28"/>
              </w:rPr>
            </w:pPr>
          </w:p>
        </w:tc>
        <w:tc>
          <w:tcPr>
            <w:tcW w:w="4148" w:type="dxa"/>
            <w:vAlign w:val="center"/>
          </w:tcPr>
          <w:p>
            <w:pPr>
              <w:rPr>
                <w:rFonts w:ascii="仿宋_GB2312" w:hAnsi="仿宋_GB2312" w:eastAsia="仿宋_GB2312" w:cs="仿宋_GB2312"/>
                <w:spacing w:val="-3"/>
                <w:kern w:val="0"/>
                <w:sz w:val="28"/>
                <w:szCs w:val="28"/>
              </w:rPr>
            </w:pPr>
            <w:r>
              <w:rPr>
                <w:rFonts w:hint="eastAsia" w:ascii="仿宋_GB2312" w:hAnsi="仿宋_GB2312" w:eastAsia="仿宋_GB2312" w:cs="仿宋_GB2312"/>
                <w:spacing w:val="-3"/>
                <w:kern w:val="0"/>
                <w:sz w:val="28"/>
                <w:szCs w:val="28"/>
              </w:rPr>
              <w:t>安全设备配置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48" w:type="dxa"/>
            <w:vMerge w:val="restart"/>
            <w:vAlign w:val="center"/>
          </w:tcPr>
          <w:p>
            <w:pPr>
              <w:jc w:val="center"/>
              <w:rPr>
                <w:rFonts w:ascii="仿宋_GB2312" w:hAnsi="仿宋_GB2312" w:eastAsia="仿宋_GB2312" w:cs="仿宋_GB2312"/>
                <w:spacing w:val="-3"/>
                <w:kern w:val="0"/>
                <w:sz w:val="28"/>
                <w:szCs w:val="28"/>
              </w:rPr>
            </w:pPr>
            <w:r>
              <w:rPr>
                <w:rFonts w:hint="eastAsia" w:ascii="仿宋_GB2312" w:hAnsi="仿宋_GB2312" w:eastAsia="仿宋_GB2312" w:cs="仿宋_GB2312"/>
                <w:spacing w:val="-3"/>
                <w:kern w:val="0"/>
                <w:sz w:val="28"/>
                <w:szCs w:val="28"/>
              </w:rPr>
              <w:t>业务安全加固实施（3</w:t>
            </w:r>
            <w:r>
              <w:rPr>
                <w:rFonts w:ascii="仿宋_GB2312" w:hAnsi="仿宋_GB2312" w:eastAsia="仿宋_GB2312" w:cs="仿宋_GB2312"/>
                <w:spacing w:val="-3"/>
                <w:kern w:val="0"/>
                <w:sz w:val="28"/>
                <w:szCs w:val="28"/>
              </w:rPr>
              <w:t>0</w:t>
            </w:r>
            <w:r>
              <w:rPr>
                <w:rFonts w:hint="eastAsia" w:ascii="仿宋_GB2312" w:hAnsi="仿宋_GB2312" w:eastAsia="仿宋_GB2312" w:cs="仿宋_GB2312"/>
                <w:spacing w:val="-3"/>
                <w:kern w:val="0"/>
                <w:sz w:val="28"/>
                <w:szCs w:val="28"/>
              </w:rPr>
              <w:t>分）</w:t>
            </w:r>
          </w:p>
        </w:tc>
        <w:tc>
          <w:tcPr>
            <w:tcW w:w="4148" w:type="dxa"/>
            <w:vAlign w:val="center"/>
          </w:tcPr>
          <w:p>
            <w:pPr>
              <w:rPr>
                <w:rFonts w:ascii="仿宋_GB2312" w:hAnsi="仿宋_GB2312" w:eastAsia="仿宋_GB2312" w:cs="仿宋_GB2312"/>
                <w:spacing w:val="-3"/>
                <w:kern w:val="0"/>
                <w:sz w:val="28"/>
                <w:szCs w:val="28"/>
              </w:rPr>
            </w:pPr>
            <w:r>
              <w:rPr>
                <w:rFonts w:hint="eastAsia" w:ascii="仿宋_GB2312" w:hAnsi="仿宋_GB2312" w:eastAsia="仿宋_GB2312" w:cs="仿宋_GB2312"/>
                <w:spacing w:val="-3"/>
                <w:kern w:val="0"/>
                <w:sz w:val="28"/>
                <w:szCs w:val="28"/>
              </w:rPr>
              <w:t>工业互联网平台安全加固实施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48" w:type="dxa"/>
            <w:vMerge w:val="continue"/>
            <w:vAlign w:val="center"/>
          </w:tcPr>
          <w:p>
            <w:pPr>
              <w:jc w:val="center"/>
              <w:rPr>
                <w:rFonts w:ascii="仿宋_GB2312" w:hAnsi="仿宋_GB2312" w:eastAsia="仿宋_GB2312" w:cs="仿宋_GB2312"/>
                <w:spacing w:val="-3"/>
                <w:kern w:val="0"/>
                <w:sz w:val="28"/>
                <w:szCs w:val="28"/>
              </w:rPr>
            </w:pPr>
          </w:p>
        </w:tc>
        <w:tc>
          <w:tcPr>
            <w:tcW w:w="4148" w:type="dxa"/>
            <w:vAlign w:val="center"/>
          </w:tcPr>
          <w:p>
            <w:pPr>
              <w:rPr>
                <w:rFonts w:ascii="仿宋_GB2312" w:hAnsi="仿宋_GB2312" w:eastAsia="仿宋_GB2312" w:cs="仿宋_GB2312"/>
                <w:spacing w:val="-3"/>
                <w:kern w:val="0"/>
                <w:sz w:val="28"/>
                <w:szCs w:val="28"/>
              </w:rPr>
            </w:pPr>
            <w:r>
              <w:rPr>
                <w:rFonts w:ascii="仿宋_GB2312" w:hAnsi="仿宋_GB2312" w:eastAsia="仿宋_GB2312" w:cs="仿宋_GB2312"/>
                <w:spacing w:val="-3"/>
                <w:kern w:val="0"/>
                <w:sz w:val="28"/>
                <w:szCs w:val="28"/>
              </w:rPr>
              <w:t>MES安全加固实施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48" w:type="dxa"/>
            <w:vMerge w:val="continue"/>
            <w:vAlign w:val="center"/>
          </w:tcPr>
          <w:p>
            <w:pPr>
              <w:jc w:val="center"/>
              <w:rPr>
                <w:rFonts w:ascii="仿宋_GB2312" w:hAnsi="仿宋_GB2312" w:eastAsia="仿宋_GB2312" w:cs="仿宋_GB2312"/>
                <w:spacing w:val="-3"/>
                <w:kern w:val="0"/>
                <w:sz w:val="28"/>
                <w:szCs w:val="28"/>
              </w:rPr>
            </w:pPr>
          </w:p>
        </w:tc>
        <w:tc>
          <w:tcPr>
            <w:tcW w:w="4148" w:type="dxa"/>
            <w:vAlign w:val="center"/>
          </w:tcPr>
          <w:p>
            <w:pPr>
              <w:rPr>
                <w:rFonts w:ascii="仿宋_GB2312" w:hAnsi="仿宋_GB2312" w:eastAsia="仿宋_GB2312" w:cs="仿宋_GB2312"/>
                <w:spacing w:val="-3"/>
                <w:kern w:val="0"/>
                <w:sz w:val="28"/>
                <w:szCs w:val="28"/>
              </w:rPr>
            </w:pPr>
            <w:r>
              <w:rPr>
                <w:rFonts w:ascii="仿宋_GB2312" w:hAnsi="仿宋_GB2312" w:eastAsia="仿宋_GB2312" w:cs="仿宋_GB2312"/>
                <w:spacing w:val="-3"/>
                <w:kern w:val="0"/>
                <w:sz w:val="28"/>
                <w:szCs w:val="28"/>
              </w:rPr>
              <w:t>SCADA安全加固实施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48" w:type="dxa"/>
            <w:vMerge w:val="continue"/>
            <w:vAlign w:val="center"/>
          </w:tcPr>
          <w:p>
            <w:pPr>
              <w:jc w:val="center"/>
              <w:rPr>
                <w:rFonts w:ascii="仿宋_GB2312" w:hAnsi="仿宋_GB2312" w:eastAsia="仿宋_GB2312" w:cs="仿宋_GB2312"/>
                <w:spacing w:val="-3"/>
                <w:kern w:val="0"/>
                <w:sz w:val="28"/>
                <w:szCs w:val="28"/>
              </w:rPr>
            </w:pPr>
          </w:p>
        </w:tc>
        <w:tc>
          <w:tcPr>
            <w:tcW w:w="4148" w:type="dxa"/>
            <w:vAlign w:val="center"/>
          </w:tcPr>
          <w:p>
            <w:pPr>
              <w:rPr>
                <w:rFonts w:ascii="仿宋_GB2312" w:hAnsi="仿宋_GB2312" w:eastAsia="仿宋_GB2312" w:cs="仿宋_GB2312"/>
                <w:spacing w:val="-3"/>
                <w:kern w:val="0"/>
                <w:sz w:val="28"/>
                <w:szCs w:val="28"/>
              </w:rPr>
            </w:pPr>
            <w:r>
              <w:rPr>
                <w:rFonts w:ascii="仿宋_GB2312" w:hAnsi="仿宋_GB2312" w:eastAsia="仿宋_GB2312" w:cs="仿宋_GB2312"/>
                <w:spacing w:val="-3"/>
                <w:kern w:val="0"/>
                <w:sz w:val="28"/>
                <w:szCs w:val="28"/>
              </w:rPr>
              <w:t>HMI安全加固实施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48" w:type="dxa"/>
            <w:vMerge w:val="continue"/>
            <w:vAlign w:val="center"/>
          </w:tcPr>
          <w:p>
            <w:pPr>
              <w:jc w:val="center"/>
              <w:rPr>
                <w:rFonts w:ascii="仿宋_GB2312" w:hAnsi="仿宋_GB2312" w:eastAsia="仿宋_GB2312" w:cs="仿宋_GB2312"/>
                <w:spacing w:val="-3"/>
                <w:kern w:val="0"/>
                <w:sz w:val="28"/>
                <w:szCs w:val="28"/>
              </w:rPr>
            </w:pPr>
          </w:p>
        </w:tc>
        <w:tc>
          <w:tcPr>
            <w:tcW w:w="4148" w:type="dxa"/>
            <w:vAlign w:val="center"/>
          </w:tcPr>
          <w:p>
            <w:pPr>
              <w:rPr>
                <w:rFonts w:ascii="仿宋_GB2312" w:hAnsi="仿宋_GB2312" w:eastAsia="仿宋_GB2312" w:cs="仿宋_GB2312"/>
                <w:spacing w:val="-3"/>
                <w:kern w:val="0"/>
                <w:sz w:val="28"/>
                <w:szCs w:val="28"/>
              </w:rPr>
            </w:pPr>
            <w:r>
              <w:rPr>
                <w:rFonts w:ascii="仿宋_GB2312" w:hAnsi="仿宋_GB2312" w:eastAsia="仿宋_GB2312" w:cs="仿宋_GB2312"/>
                <w:spacing w:val="-3"/>
                <w:kern w:val="0"/>
                <w:sz w:val="28"/>
                <w:szCs w:val="28"/>
              </w:rPr>
              <w:t>PLC安全加固实施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48" w:type="dxa"/>
            <w:vMerge w:val="continue"/>
            <w:vAlign w:val="center"/>
          </w:tcPr>
          <w:p>
            <w:pPr>
              <w:jc w:val="center"/>
              <w:rPr>
                <w:rFonts w:ascii="仿宋_GB2312" w:hAnsi="仿宋_GB2312" w:eastAsia="仿宋_GB2312" w:cs="仿宋_GB2312"/>
                <w:spacing w:val="-3"/>
                <w:kern w:val="0"/>
                <w:sz w:val="28"/>
                <w:szCs w:val="28"/>
              </w:rPr>
            </w:pPr>
          </w:p>
        </w:tc>
        <w:tc>
          <w:tcPr>
            <w:tcW w:w="4148" w:type="dxa"/>
            <w:vAlign w:val="center"/>
          </w:tcPr>
          <w:p>
            <w:pPr>
              <w:rPr>
                <w:rFonts w:ascii="仿宋_GB2312" w:hAnsi="仿宋_GB2312" w:eastAsia="仿宋_GB2312" w:cs="仿宋_GB2312"/>
                <w:spacing w:val="-3"/>
                <w:kern w:val="0"/>
                <w:sz w:val="28"/>
                <w:szCs w:val="28"/>
              </w:rPr>
            </w:pPr>
            <w:r>
              <w:rPr>
                <w:rFonts w:hint="eastAsia" w:ascii="仿宋_GB2312" w:hAnsi="仿宋_GB2312" w:eastAsia="仿宋_GB2312" w:cs="仿宋_GB2312"/>
                <w:spacing w:val="-3"/>
                <w:kern w:val="0"/>
                <w:sz w:val="28"/>
                <w:szCs w:val="28"/>
              </w:rPr>
              <w:t>交换机安全加固实施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48" w:type="dxa"/>
            <w:vMerge w:val="continue"/>
            <w:vAlign w:val="center"/>
          </w:tcPr>
          <w:p>
            <w:pPr>
              <w:jc w:val="center"/>
              <w:rPr>
                <w:rFonts w:ascii="仿宋_GB2312" w:hAnsi="仿宋_GB2312" w:eastAsia="仿宋_GB2312" w:cs="仿宋_GB2312"/>
                <w:spacing w:val="-3"/>
                <w:kern w:val="0"/>
                <w:sz w:val="28"/>
                <w:szCs w:val="28"/>
              </w:rPr>
            </w:pPr>
          </w:p>
        </w:tc>
        <w:tc>
          <w:tcPr>
            <w:tcW w:w="4148" w:type="dxa"/>
            <w:vAlign w:val="center"/>
          </w:tcPr>
          <w:p>
            <w:pPr>
              <w:rPr>
                <w:rFonts w:ascii="仿宋_GB2312" w:hAnsi="仿宋_GB2312" w:eastAsia="仿宋_GB2312" w:cs="仿宋_GB2312"/>
                <w:spacing w:val="-3"/>
                <w:kern w:val="0"/>
                <w:sz w:val="28"/>
                <w:szCs w:val="28"/>
              </w:rPr>
            </w:pPr>
            <w:r>
              <w:rPr>
                <w:rFonts w:hint="eastAsia" w:ascii="仿宋_GB2312" w:hAnsi="仿宋_GB2312" w:eastAsia="仿宋_GB2312" w:cs="仿宋_GB2312"/>
                <w:spacing w:val="-3"/>
                <w:kern w:val="0"/>
                <w:sz w:val="28"/>
                <w:szCs w:val="28"/>
              </w:rPr>
              <w:t>数采网关安全加固实施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48" w:type="dxa"/>
            <w:vMerge w:val="continue"/>
            <w:vAlign w:val="center"/>
          </w:tcPr>
          <w:p>
            <w:pPr>
              <w:jc w:val="center"/>
              <w:rPr>
                <w:rFonts w:ascii="仿宋_GB2312" w:hAnsi="仿宋_GB2312" w:eastAsia="仿宋_GB2312" w:cs="仿宋_GB2312"/>
                <w:spacing w:val="-3"/>
                <w:kern w:val="0"/>
                <w:sz w:val="28"/>
                <w:szCs w:val="28"/>
              </w:rPr>
            </w:pPr>
          </w:p>
        </w:tc>
        <w:tc>
          <w:tcPr>
            <w:tcW w:w="4148" w:type="dxa"/>
            <w:vAlign w:val="center"/>
          </w:tcPr>
          <w:p>
            <w:pPr>
              <w:rPr>
                <w:rFonts w:ascii="仿宋_GB2312" w:hAnsi="仿宋_GB2312" w:eastAsia="仿宋_GB2312" w:cs="仿宋_GB2312"/>
                <w:spacing w:val="-3"/>
                <w:kern w:val="0"/>
                <w:sz w:val="28"/>
                <w:szCs w:val="28"/>
              </w:rPr>
            </w:pPr>
            <w:r>
              <w:rPr>
                <w:rFonts w:hint="eastAsia" w:ascii="仿宋_GB2312" w:hAnsi="仿宋_GB2312" w:eastAsia="仿宋_GB2312" w:cs="仿宋_GB2312"/>
                <w:spacing w:val="-3"/>
                <w:kern w:val="0"/>
                <w:sz w:val="28"/>
                <w:szCs w:val="28"/>
              </w:rPr>
              <w:t>摄像头安全加固实施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48" w:type="dxa"/>
            <w:vMerge w:val="restart"/>
            <w:vAlign w:val="center"/>
          </w:tcPr>
          <w:p>
            <w:pPr>
              <w:jc w:val="center"/>
              <w:rPr>
                <w:rFonts w:ascii="仿宋_GB2312" w:hAnsi="仿宋_GB2312" w:eastAsia="仿宋_GB2312" w:cs="仿宋_GB2312"/>
                <w:spacing w:val="-3"/>
                <w:kern w:val="0"/>
                <w:sz w:val="28"/>
                <w:szCs w:val="28"/>
              </w:rPr>
            </w:pPr>
            <w:r>
              <w:rPr>
                <w:rFonts w:hint="eastAsia" w:ascii="仿宋_GB2312" w:hAnsi="仿宋_GB2312" w:eastAsia="仿宋_GB2312" w:cs="仿宋_GB2312"/>
                <w:spacing w:val="-3"/>
                <w:kern w:val="0"/>
                <w:sz w:val="28"/>
                <w:szCs w:val="28"/>
              </w:rPr>
              <w:t>业务安全评估评测（</w:t>
            </w:r>
            <w:r>
              <w:rPr>
                <w:rFonts w:ascii="仿宋_GB2312" w:hAnsi="仿宋_GB2312" w:eastAsia="仿宋_GB2312" w:cs="仿宋_GB2312"/>
                <w:spacing w:val="-3"/>
                <w:kern w:val="0"/>
                <w:sz w:val="28"/>
                <w:szCs w:val="28"/>
              </w:rPr>
              <w:t>25</w:t>
            </w:r>
            <w:r>
              <w:rPr>
                <w:rFonts w:hint="eastAsia" w:ascii="仿宋_GB2312" w:hAnsi="仿宋_GB2312" w:eastAsia="仿宋_GB2312" w:cs="仿宋_GB2312"/>
                <w:spacing w:val="-3"/>
                <w:kern w:val="0"/>
                <w:sz w:val="28"/>
                <w:szCs w:val="28"/>
              </w:rPr>
              <w:t>分）</w:t>
            </w:r>
          </w:p>
        </w:tc>
        <w:tc>
          <w:tcPr>
            <w:tcW w:w="4148" w:type="dxa"/>
            <w:vAlign w:val="center"/>
          </w:tcPr>
          <w:p>
            <w:pPr>
              <w:rPr>
                <w:rFonts w:ascii="仿宋_GB2312" w:hAnsi="仿宋_GB2312" w:eastAsia="仿宋_GB2312" w:cs="仿宋_GB2312"/>
                <w:spacing w:val="-3"/>
                <w:kern w:val="0"/>
                <w:sz w:val="28"/>
                <w:szCs w:val="28"/>
              </w:rPr>
            </w:pPr>
            <w:r>
              <w:rPr>
                <w:rFonts w:ascii="仿宋_GB2312" w:hAnsi="仿宋_GB2312" w:eastAsia="仿宋_GB2312" w:cs="仿宋_GB2312"/>
                <w:spacing w:val="-3"/>
                <w:kern w:val="0"/>
                <w:sz w:val="28"/>
                <w:szCs w:val="28"/>
              </w:rPr>
              <w:t>安全配置基线核查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48" w:type="dxa"/>
            <w:vMerge w:val="continue"/>
            <w:vAlign w:val="center"/>
          </w:tcPr>
          <w:p>
            <w:pPr>
              <w:jc w:val="center"/>
              <w:rPr>
                <w:rFonts w:ascii="仿宋_GB2312" w:hAnsi="仿宋_GB2312" w:eastAsia="仿宋_GB2312" w:cs="仿宋_GB2312"/>
                <w:spacing w:val="-3"/>
                <w:kern w:val="0"/>
                <w:sz w:val="28"/>
                <w:szCs w:val="28"/>
              </w:rPr>
            </w:pPr>
          </w:p>
        </w:tc>
        <w:tc>
          <w:tcPr>
            <w:tcW w:w="4148" w:type="dxa"/>
            <w:vAlign w:val="center"/>
          </w:tcPr>
          <w:p>
            <w:pPr>
              <w:rPr>
                <w:rFonts w:ascii="仿宋_GB2312" w:hAnsi="仿宋_GB2312" w:eastAsia="仿宋_GB2312" w:cs="仿宋_GB2312"/>
                <w:spacing w:val="-3"/>
                <w:kern w:val="0"/>
                <w:sz w:val="28"/>
                <w:szCs w:val="28"/>
              </w:rPr>
            </w:pPr>
            <w:r>
              <w:rPr>
                <w:rFonts w:ascii="仿宋_GB2312" w:hAnsi="仿宋_GB2312" w:eastAsia="仿宋_GB2312" w:cs="仿宋_GB2312"/>
                <w:spacing w:val="-3"/>
                <w:kern w:val="0"/>
                <w:sz w:val="28"/>
                <w:szCs w:val="28"/>
              </w:rPr>
              <w:t>安全漏洞测试验证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48" w:type="dxa"/>
            <w:vMerge w:val="continue"/>
            <w:vAlign w:val="center"/>
          </w:tcPr>
          <w:p>
            <w:pPr>
              <w:jc w:val="center"/>
              <w:rPr>
                <w:rFonts w:ascii="仿宋_GB2312" w:hAnsi="仿宋_GB2312" w:eastAsia="仿宋_GB2312" w:cs="仿宋_GB2312"/>
                <w:spacing w:val="-3"/>
                <w:sz w:val="28"/>
                <w:szCs w:val="28"/>
              </w:rPr>
            </w:pPr>
          </w:p>
        </w:tc>
        <w:tc>
          <w:tcPr>
            <w:tcW w:w="4148" w:type="dxa"/>
            <w:vAlign w:val="center"/>
          </w:tcPr>
          <w:p>
            <w:pPr>
              <w:rPr>
                <w:rFonts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代码安全审计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48" w:type="dxa"/>
            <w:vMerge w:val="restart"/>
            <w:vAlign w:val="center"/>
          </w:tcPr>
          <w:p>
            <w:pPr>
              <w:jc w:val="center"/>
              <w:rPr>
                <w:rFonts w:ascii="仿宋_GB2312" w:hAnsi="仿宋_GB2312" w:eastAsia="仿宋_GB2312" w:cs="仿宋_GB2312"/>
                <w:spacing w:val="-3"/>
                <w:kern w:val="0"/>
                <w:sz w:val="28"/>
                <w:szCs w:val="28"/>
              </w:rPr>
            </w:pPr>
            <w:r>
              <w:rPr>
                <w:rFonts w:hint="eastAsia" w:ascii="仿宋_GB2312" w:hAnsi="仿宋_GB2312" w:eastAsia="仿宋_GB2312" w:cs="仿宋_GB2312"/>
                <w:spacing w:val="-3"/>
                <w:kern w:val="0"/>
                <w:sz w:val="28"/>
                <w:szCs w:val="28"/>
              </w:rPr>
              <w:t>安全事件应急处置（</w:t>
            </w:r>
            <w:r>
              <w:rPr>
                <w:rFonts w:ascii="仿宋_GB2312" w:hAnsi="仿宋_GB2312" w:eastAsia="仿宋_GB2312" w:cs="仿宋_GB2312"/>
                <w:spacing w:val="-3"/>
                <w:kern w:val="0"/>
                <w:sz w:val="28"/>
                <w:szCs w:val="28"/>
              </w:rPr>
              <w:t>15</w:t>
            </w:r>
            <w:r>
              <w:rPr>
                <w:rFonts w:hint="eastAsia" w:ascii="仿宋_GB2312" w:hAnsi="仿宋_GB2312" w:eastAsia="仿宋_GB2312" w:cs="仿宋_GB2312"/>
                <w:spacing w:val="-3"/>
                <w:kern w:val="0"/>
                <w:sz w:val="28"/>
                <w:szCs w:val="28"/>
              </w:rPr>
              <w:t>分）</w:t>
            </w:r>
          </w:p>
        </w:tc>
        <w:tc>
          <w:tcPr>
            <w:tcW w:w="4148" w:type="dxa"/>
            <w:vAlign w:val="center"/>
          </w:tcPr>
          <w:p>
            <w:pPr>
              <w:rPr>
                <w:rFonts w:ascii="仿宋_GB2312" w:hAnsi="仿宋_GB2312" w:eastAsia="仿宋_GB2312" w:cs="仿宋_GB2312"/>
                <w:spacing w:val="-3"/>
                <w:kern w:val="0"/>
                <w:sz w:val="28"/>
                <w:szCs w:val="28"/>
              </w:rPr>
            </w:pPr>
            <w:r>
              <w:rPr>
                <w:rFonts w:ascii="仿宋_GB2312" w:hAnsi="仿宋_GB2312" w:eastAsia="仿宋_GB2312" w:cs="仿宋_GB2312"/>
                <w:spacing w:val="-3"/>
                <w:kern w:val="0"/>
                <w:sz w:val="28"/>
                <w:szCs w:val="28"/>
              </w:rPr>
              <w:t>有害程序事件应急处置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48" w:type="dxa"/>
            <w:vMerge w:val="continue"/>
            <w:vAlign w:val="center"/>
          </w:tcPr>
          <w:p>
            <w:pPr>
              <w:jc w:val="center"/>
              <w:rPr>
                <w:rFonts w:ascii="仿宋_GB2312" w:hAnsi="仿宋_GB2312" w:eastAsia="仿宋_GB2312" w:cs="仿宋_GB2312"/>
                <w:spacing w:val="-3"/>
                <w:kern w:val="0"/>
                <w:sz w:val="28"/>
                <w:szCs w:val="28"/>
              </w:rPr>
            </w:pPr>
          </w:p>
        </w:tc>
        <w:tc>
          <w:tcPr>
            <w:tcW w:w="4148" w:type="dxa"/>
            <w:vAlign w:val="center"/>
          </w:tcPr>
          <w:p>
            <w:pPr>
              <w:rPr>
                <w:rFonts w:ascii="仿宋_GB2312" w:hAnsi="仿宋_GB2312" w:eastAsia="仿宋_GB2312" w:cs="仿宋_GB2312"/>
                <w:spacing w:val="-3"/>
                <w:kern w:val="0"/>
                <w:sz w:val="28"/>
                <w:szCs w:val="28"/>
              </w:rPr>
            </w:pPr>
            <w:r>
              <w:rPr>
                <w:rFonts w:ascii="仿宋_GB2312" w:hAnsi="仿宋_GB2312" w:eastAsia="仿宋_GB2312" w:cs="仿宋_GB2312"/>
                <w:spacing w:val="-3"/>
                <w:kern w:val="0"/>
                <w:sz w:val="28"/>
                <w:szCs w:val="28"/>
              </w:rPr>
              <w:t>网络攻击事件应急处置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48" w:type="dxa"/>
            <w:vMerge w:val="continue"/>
            <w:vAlign w:val="center"/>
          </w:tcPr>
          <w:p>
            <w:pPr>
              <w:jc w:val="center"/>
              <w:rPr>
                <w:rFonts w:ascii="仿宋_GB2312" w:hAnsi="仿宋_GB2312" w:eastAsia="仿宋_GB2312" w:cs="仿宋_GB2312"/>
                <w:spacing w:val="-3"/>
                <w:kern w:val="0"/>
                <w:sz w:val="28"/>
                <w:szCs w:val="28"/>
              </w:rPr>
            </w:pPr>
          </w:p>
        </w:tc>
        <w:tc>
          <w:tcPr>
            <w:tcW w:w="4148" w:type="dxa"/>
            <w:vAlign w:val="center"/>
          </w:tcPr>
          <w:p>
            <w:pPr>
              <w:rPr>
                <w:rFonts w:ascii="仿宋_GB2312" w:hAnsi="仿宋_GB2312" w:eastAsia="仿宋_GB2312" w:cs="仿宋_GB2312"/>
                <w:spacing w:val="-3"/>
                <w:kern w:val="0"/>
                <w:sz w:val="28"/>
                <w:szCs w:val="28"/>
              </w:rPr>
            </w:pPr>
            <w:r>
              <w:rPr>
                <w:rFonts w:ascii="仿宋_GB2312" w:hAnsi="仿宋_GB2312" w:eastAsia="仿宋_GB2312" w:cs="仿宋_GB2312"/>
                <w:spacing w:val="-3"/>
                <w:kern w:val="0"/>
                <w:sz w:val="28"/>
                <w:szCs w:val="28"/>
              </w:rPr>
              <w:t>信息破坏事件应急处置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48" w:type="dxa"/>
            <w:vMerge w:val="restart"/>
            <w:vAlign w:val="center"/>
          </w:tcPr>
          <w:p>
            <w:pPr>
              <w:jc w:val="center"/>
              <w:rPr>
                <w:rFonts w:ascii="仿宋_GB2312" w:hAnsi="仿宋_GB2312" w:eastAsia="仿宋_GB2312" w:cs="仿宋_GB2312"/>
                <w:spacing w:val="-3"/>
                <w:kern w:val="0"/>
                <w:sz w:val="28"/>
                <w:szCs w:val="28"/>
              </w:rPr>
            </w:pPr>
            <w:r>
              <w:rPr>
                <w:rFonts w:hint="eastAsia" w:ascii="仿宋_GB2312" w:hAnsi="仿宋_GB2312" w:eastAsia="仿宋_GB2312" w:cs="仿宋_GB2312"/>
                <w:spacing w:val="-3"/>
                <w:kern w:val="0"/>
                <w:sz w:val="28"/>
                <w:szCs w:val="28"/>
              </w:rPr>
              <w:t>安全事件分析研判（1</w:t>
            </w:r>
            <w:r>
              <w:rPr>
                <w:rFonts w:ascii="仿宋_GB2312" w:hAnsi="仿宋_GB2312" w:eastAsia="仿宋_GB2312" w:cs="仿宋_GB2312"/>
                <w:spacing w:val="-3"/>
                <w:kern w:val="0"/>
                <w:sz w:val="28"/>
                <w:szCs w:val="28"/>
              </w:rPr>
              <w:t>5</w:t>
            </w:r>
            <w:r>
              <w:rPr>
                <w:rFonts w:hint="eastAsia" w:ascii="仿宋_GB2312" w:hAnsi="仿宋_GB2312" w:eastAsia="仿宋_GB2312" w:cs="仿宋_GB2312"/>
                <w:spacing w:val="-3"/>
                <w:kern w:val="0"/>
                <w:sz w:val="28"/>
                <w:szCs w:val="28"/>
              </w:rPr>
              <w:t>分）</w:t>
            </w:r>
          </w:p>
        </w:tc>
        <w:tc>
          <w:tcPr>
            <w:tcW w:w="4148" w:type="dxa"/>
            <w:vAlign w:val="center"/>
          </w:tcPr>
          <w:p>
            <w:pPr>
              <w:rPr>
                <w:rFonts w:ascii="仿宋_GB2312" w:hAnsi="仿宋_GB2312" w:eastAsia="仿宋_GB2312" w:cs="仿宋_GB2312"/>
                <w:spacing w:val="-3"/>
                <w:kern w:val="0"/>
                <w:sz w:val="28"/>
                <w:szCs w:val="28"/>
              </w:rPr>
            </w:pPr>
            <w:r>
              <w:rPr>
                <w:rFonts w:ascii="仿宋_GB2312" w:hAnsi="仿宋_GB2312" w:eastAsia="仿宋_GB2312" w:cs="仿宋_GB2312"/>
                <w:spacing w:val="-3"/>
                <w:kern w:val="0"/>
                <w:sz w:val="28"/>
                <w:szCs w:val="28"/>
              </w:rPr>
              <w:t>有害程序事件分析研判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48" w:type="dxa"/>
            <w:vMerge w:val="continue"/>
            <w:vAlign w:val="top"/>
          </w:tcPr>
          <w:p>
            <w:pPr>
              <w:rPr>
                <w:rFonts w:ascii="仿宋_GB2312" w:hAnsi="仿宋_GB2312" w:eastAsia="仿宋_GB2312" w:cs="仿宋_GB2312"/>
                <w:spacing w:val="-3"/>
                <w:kern w:val="0"/>
                <w:sz w:val="28"/>
                <w:szCs w:val="28"/>
              </w:rPr>
            </w:pPr>
          </w:p>
        </w:tc>
        <w:tc>
          <w:tcPr>
            <w:tcW w:w="4148" w:type="dxa"/>
            <w:vAlign w:val="center"/>
          </w:tcPr>
          <w:p>
            <w:pPr>
              <w:rPr>
                <w:rFonts w:ascii="仿宋_GB2312" w:hAnsi="仿宋_GB2312" w:eastAsia="仿宋_GB2312" w:cs="仿宋_GB2312"/>
                <w:spacing w:val="-3"/>
                <w:kern w:val="0"/>
                <w:sz w:val="28"/>
                <w:szCs w:val="28"/>
              </w:rPr>
            </w:pPr>
            <w:r>
              <w:rPr>
                <w:rFonts w:ascii="仿宋_GB2312" w:hAnsi="仿宋_GB2312" w:eastAsia="仿宋_GB2312" w:cs="仿宋_GB2312"/>
                <w:spacing w:val="-3"/>
                <w:kern w:val="0"/>
                <w:sz w:val="28"/>
                <w:szCs w:val="28"/>
              </w:rPr>
              <w:t>网络攻击事件分析研判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48" w:type="dxa"/>
            <w:vMerge w:val="continue"/>
            <w:vAlign w:val="top"/>
          </w:tcPr>
          <w:p>
            <w:pPr>
              <w:rPr>
                <w:rFonts w:ascii="仿宋_GB2312" w:hAnsi="仿宋_GB2312" w:eastAsia="仿宋_GB2312" w:cs="仿宋_GB2312"/>
                <w:spacing w:val="-3"/>
                <w:kern w:val="0"/>
                <w:sz w:val="28"/>
                <w:szCs w:val="28"/>
              </w:rPr>
            </w:pPr>
          </w:p>
        </w:tc>
        <w:tc>
          <w:tcPr>
            <w:tcW w:w="4148" w:type="dxa"/>
            <w:vAlign w:val="center"/>
          </w:tcPr>
          <w:p>
            <w:pPr>
              <w:rPr>
                <w:rFonts w:ascii="仿宋_GB2312" w:hAnsi="仿宋_GB2312" w:eastAsia="仿宋_GB2312" w:cs="仿宋_GB2312"/>
                <w:spacing w:val="-3"/>
                <w:kern w:val="0"/>
                <w:sz w:val="28"/>
                <w:szCs w:val="28"/>
              </w:rPr>
            </w:pPr>
            <w:r>
              <w:rPr>
                <w:rFonts w:ascii="仿宋_GB2312" w:hAnsi="仿宋_GB2312" w:eastAsia="仿宋_GB2312" w:cs="仿宋_GB2312"/>
                <w:spacing w:val="-3"/>
                <w:kern w:val="0"/>
                <w:sz w:val="28"/>
                <w:szCs w:val="28"/>
              </w:rPr>
              <w:t>信息破坏事件分析研判</w:t>
            </w:r>
          </w:p>
        </w:tc>
      </w:tr>
    </w:tbl>
    <w:p>
      <w:pPr>
        <w:spacing w:line="560" w:lineRule="exact"/>
        <w:ind w:firstLine="640" w:firstLineChars="200"/>
        <w:rPr>
          <w:rFonts w:eastAsia="楷体_GB2312"/>
          <w:sz w:val="32"/>
          <w:szCs w:val="32"/>
        </w:rPr>
      </w:pPr>
      <w:r>
        <w:rPr>
          <w:rFonts w:eastAsia="楷体_GB2312"/>
          <w:sz w:val="32"/>
          <w:szCs w:val="32"/>
        </w:rPr>
        <w:t>（四）评分方式</w:t>
      </w:r>
    </w:p>
    <w:p>
      <w:pPr>
        <w:pStyle w:val="3"/>
        <w:spacing w:line="560"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1.完全采用客观化评分，评分项内无主观分值；</w:t>
      </w:r>
    </w:p>
    <w:p>
      <w:pPr>
        <w:pStyle w:val="3"/>
        <w:spacing w:line="560"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2.涉及提交答案的任务按照答案内容进行客观评分，答案错误者均不得分；</w:t>
      </w:r>
    </w:p>
    <w:p>
      <w:pPr>
        <w:pStyle w:val="3"/>
        <w:spacing w:line="560"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3.按照客观的任务动作表现形式进行客观评分，无动作表现者均不得分。</w:t>
      </w:r>
    </w:p>
    <w:p>
      <w:pPr>
        <w:pStyle w:val="3"/>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十、大赛硬件平台说明</w:t>
      </w:r>
    </w:p>
    <w:p>
      <w:pPr>
        <w:pStyle w:val="3"/>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大赛平台（采用</w:t>
      </w:r>
      <w:r>
        <w:rPr>
          <w:rFonts w:ascii="Times New Roman" w:hAnsi="Times New Roman" w:eastAsia="仿宋_GB2312"/>
          <w:sz w:val="32"/>
          <w:szCs w:val="32"/>
        </w:rPr>
        <w:t>中国信息通信研究院提供的IISTP</w:t>
      </w:r>
      <w:r>
        <w:rPr>
          <w:rFonts w:hint="eastAsia" w:ascii="Times New Roman" w:hAnsi="Times New Roman" w:eastAsia="仿宋_GB2312"/>
          <w:sz w:val="32"/>
          <w:szCs w:val="32"/>
        </w:rPr>
        <w:t>工业互联网安全实训平台）由软件部分与硬件部分组成。</w:t>
      </w:r>
    </w:p>
    <w:p>
      <w:pPr>
        <w:pStyle w:val="3"/>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（一）软件部分</w:t>
      </w:r>
    </w:p>
    <w:p>
      <w:pPr>
        <w:pStyle w:val="3"/>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软件部分主要包括工业互联网平台、MES和外接模拟场景。</w:t>
      </w:r>
    </w:p>
    <w:p>
      <w:pPr>
        <w:pStyle w:val="3"/>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1.工业互联网平台</w:t>
      </w:r>
    </w:p>
    <w:p>
      <w:pPr>
        <w:pStyle w:val="3"/>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用于对工业现场各类传感器采集的数据进行分析与处理，帮助企业决策者提升生产效率与服务水平。工业互联网平台运行界面效果如图3所示。</w:t>
      </w:r>
    </w:p>
    <w:p>
      <w:pPr>
        <w:spacing w:before="272" w:line="369" w:lineRule="auto"/>
        <w:ind w:right="86"/>
        <w:jc w:val="center"/>
        <w:rPr>
          <w:rFonts w:ascii="仿宋_GB2312" w:hAnsi="仿宋_GB2312" w:eastAsia="仿宋_GB2312" w:cs="仿宋_GB2312"/>
          <w:spacing w:val="-3"/>
          <w:sz w:val="28"/>
          <w:szCs w:val="28"/>
        </w:rPr>
      </w:pPr>
      <w:r>
        <w:drawing>
          <wp:inline distT="0" distB="0" distL="114300" distR="114300">
            <wp:extent cx="5616575" cy="2833370"/>
            <wp:effectExtent l="0" t="0" r="3175" b="508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6"/>
                    <a:stretch>
                      <a:fillRect/>
                    </a:stretch>
                  </pic:blipFill>
                  <pic:spPr>
                    <a:xfrm>
                      <a:off x="0" y="0"/>
                      <a:ext cx="5616575" cy="2833370"/>
                    </a:xfrm>
                    <a:prstGeom prst="rect">
                      <a:avLst/>
                    </a:prstGeom>
                    <a:noFill/>
                    <a:ln w="9525">
                      <a:noFill/>
                    </a:ln>
                  </pic:spPr>
                </pic:pic>
              </a:graphicData>
            </a:graphic>
          </wp:inline>
        </w:drawing>
      </w:r>
    </w:p>
    <w:p>
      <w:pPr>
        <w:spacing w:before="272" w:line="369" w:lineRule="auto"/>
        <w:ind w:right="86"/>
        <w:jc w:val="center"/>
        <w:rPr>
          <w:rFonts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图3 工业互联网平台运行界面效果图</w:t>
      </w:r>
    </w:p>
    <w:p>
      <w:pPr>
        <w:pStyle w:val="3"/>
        <w:spacing w:line="560" w:lineRule="exact"/>
        <w:ind w:firstLine="640" w:firstLineChars="200"/>
        <w:rPr>
          <w:rFonts w:hint="eastAsia" w:ascii="Times New Roman" w:hAnsi="Times New Roman" w:eastAsia="仿宋_GB2312"/>
          <w:sz w:val="32"/>
          <w:szCs w:val="32"/>
        </w:rPr>
      </w:pPr>
    </w:p>
    <w:p>
      <w:pPr>
        <w:pStyle w:val="3"/>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2.MES</w:t>
      </w:r>
    </w:p>
    <w:p>
      <w:pPr>
        <w:pStyle w:val="3"/>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用于完成生产任务下发，并对生产任务完成情况进行管理。MES运行界面效果如图4所示。</w:t>
      </w:r>
    </w:p>
    <w:p>
      <w:pPr>
        <w:spacing w:before="272" w:line="369" w:lineRule="auto"/>
        <w:ind w:right="86"/>
        <w:jc w:val="center"/>
        <w:rPr>
          <w:rFonts w:ascii="仿宋_GB2312" w:hAnsi="仿宋_GB2312" w:eastAsia="仿宋_GB2312" w:cs="仿宋_GB2312"/>
          <w:spacing w:val="-3"/>
          <w:sz w:val="28"/>
          <w:szCs w:val="28"/>
        </w:rPr>
      </w:pPr>
      <w:r>
        <w:drawing>
          <wp:inline distT="0" distB="0" distL="114300" distR="114300">
            <wp:extent cx="5616575" cy="2748280"/>
            <wp:effectExtent l="0" t="0" r="3175" b="1397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7"/>
                    <a:stretch>
                      <a:fillRect/>
                    </a:stretch>
                  </pic:blipFill>
                  <pic:spPr>
                    <a:xfrm>
                      <a:off x="0" y="0"/>
                      <a:ext cx="5616575" cy="2748280"/>
                    </a:xfrm>
                    <a:prstGeom prst="rect">
                      <a:avLst/>
                    </a:prstGeom>
                    <a:noFill/>
                    <a:ln w="9525">
                      <a:noFill/>
                    </a:ln>
                  </pic:spPr>
                </pic:pic>
              </a:graphicData>
            </a:graphic>
          </wp:inline>
        </w:drawing>
      </w:r>
    </w:p>
    <w:p>
      <w:pPr>
        <w:spacing w:before="272" w:line="369" w:lineRule="auto"/>
        <w:ind w:right="86"/>
        <w:jc w:val="center"/>
        <w:rPr>
          <w:rFonts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图4 MES运行界面效果图</w:t>
      </w:r>
    </w:p>
    <w:p>
      <w:pPr>
        <w:pStyle w:val="3"/>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3.外接模拟场景</w:t>
      </w:r>
    </w:p>
    <w:p>
      <w:pPr>
        <w:pStyle w:val="3"/>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用于呈现集成电路产线电子模拟场景运行实况。</w:t>
      </w:r>
    </w:p>
    <w:p>
      <w:pPr>
        <w:pStyle w:val="3"/>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（二）硬件部分</w:t>
      </w:r>
    </w:p>
    <w:p>
      <w:pPr>
        <w:pStyle w:val="3"/>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硬件部分主要包括SCADA监控主机、HMI、PLC、数采网关、工业组件、交换机、工业防火墙、工业日志审计、智能摄像头等，如图5所示。</w:t>
      </w:r>
    </w:p>
    <w:p>
      <w:pPr>
        <w:spacing w:before="272" w:line="369" w:lineRule="auto"/>
        <w:ind w:right="86"/>
        <w:jc w:val="center"/>
        <w:rPr>
          <w:rFonts w:ascii="仿宋_GB2312" w:hAnsi="仿宋_GB2312" w:eastAsia="仿宋_GB2312" w:cs="仿宋_GB2312"/>
          <w:spacing w:val="-3"/>
          <w:sz w:val="28"/>
          <w:szCs w:val="28"/>
        </w:rPr>
      </w:pPr>
      <w:r>
        <w:rPr>
          <w:rFonts w:ascii="仿宋_GB2312" w:hAnsi="仿宋_GB2312" w:eastAsia="仿宋_GB2312" w:cs="仿宋_GB2312"/>
          <w:spacing w:val="-3"/>
          <w:sz w:val="28"/>
          <w:szCs w:val="28"/>
        </w:rPr>
        <w:t xml:space="preserve"> </w:t>
      </w:r>
      <w:r>
        <w:drawing>
          <wp:inline distT="0" distB="0" distL="114300" distR="114300">
            <wp:extent cx="4183380" cy="5715000"/>
            <wp:effectExtent l="0" t="0" r="7620" b="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8"/>
                    <a:stretch>
                      <a:fillRect/>
                    </a:stretch>
                  </pic:blipFill>
                  <pic:spPr>
                    <a:xfrm>
                      <a:off x="0" y="0"/>
                      <a:ext cx="4183380" cy="5715000"/>
                    </a:xfrm>
                    <a:prstGeom prst="rect">
                      <a:avLst/>
                    </a:prstGeom>
                    <a:noFill/>
                    <a:ln w="9525">
                      <a:noFill/>
                    </a:ln>
                  </pic:spPr>
                </pic:pic>
              </a:graphicData>
            </a:graphic>
          </wp:inline>
        </w:drawing>
      </w:r>
    </w:p>
    <w:p>
      <w:pPr>
        <w:spacing w:before="272" w:line="369" w:lineRule="auto"/>
        <w:ind w:right="86"/>
        <w:jc w:val="center"/>
        <w:rPr>
          <w:rFonts w:hint="eastAsia"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图5 硬件部分构成示意图</w:t>
      </w:r>
    </w:p>
    <w:p>
      <w:pPr>
        <w:pStyle w:val="3"/>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1.SCADA监控主机</w:t>
      </w:r>
    </w:p>
    <w:p>
      <w:pPr>
        <w:pStyle w:val="3"/>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用于对工业生产现场运行情况进行实时监控。</w:t>
      </w:r>
    </w:p>
    <w:p>
      <w:pPr>
        <w:pStyle w:val="3"/>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2.HMI</w:t>
      </w:r>
    </w:p>
    <w:p>
      <w:pPr>
        <w:pStyle w:val="3"/>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通过组态画面对PLC进行控制。</w:t>
      </w:r>
    </w:p>
    <w:p>
      <w:pPr>
        <w:pStyle w:val="3"/>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3.PLC</w:t>
      </w:r>
    </w:p>
    <w:p>
      <w:pPr>
        <w:pStyle w:val="3"/>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用于控制各类现场设备或执行机构。</w:t>
      </w:r>
    </w:p>
    <w:p>
      <w:pPr>
        <w:pStyle w:val="3"/>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4.数采网关</w:t>
      </w:r>
    </w:p>
    <w:p>
      <w:pPr>
        <w:pStyle w:val="3"/>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用于将工业现场采集的各类数据进行上传。</w:t>
      </w:r>
    </w:p>
    <w:p>
      <w:pPr>
        <w:pStyle w:val="3"/>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5.工业组件</w:t>
      </w:r>
    </w:p>
    <w:p>
      <w:pPr>
        <w:pStyle w:val="3"/>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包括指示灯、按钮、传感器、数显屏、步进电机、蜂鸣器、旋钮等，用于采集工业现场各类与运行状态和环境状态相关的参数，执行由上层控制设备下发的控制动作。</w:t>
      </w:r>
    </w:p>
    <w:p>
      <w:pPr>
        <w:pStyle w:val="3"/>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6.交换机</w:t>
      </w:r>
    </w:p>
    <w:p>
      <w:pPr>
        <w:pStyle w:val="3"/>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用于连接网络中的各类系统与设备。</w:t>
      </w:r>
    </w:p>
    <w:p>
      <w:pPr>
        <w:pStyle w:val="3"/>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7.工业防火墙</w:t>
      </w:r>
    </w:p>
    <w:p>
      <w:pPr>
        <w:pStyle w:val="3"/>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通过配置安全策略，对网络中的各类系统与设备进行防护。</w:t>
      </w:r>
    </w:p>
    <w:p>
      <w:pPr>
        <w:pStyle w:val="3"/>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8.工业日志审计</w:t>
      </w:r>
    </w:p>
    <w:p>
      <w:pPr>
        <w:pStyle w:val="3"/>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通过实时动态监控内部网络安全状态，对于网络中可能存在的攻击行为进行监测与追溯。</w:t>
      </w:r>
    </w:p>
    <w:p>
      <w:pPr>
        <w:pStyle w:val="3"/>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9.智能摄像头</w:t>
      </w:r>
    </w:p>
    <w:p>
      <w:pPr>
        <w:pStyle w:val="3"/>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用于完成视频画面的采集。</w:t>
      </w:r>
    </w:p>
    <w:p>
      <w:pPr>
        <w:pStyle w:val="3"/>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十</w:t>
      </w:r>
      <w:r>
        <w:rPr>
          <w:rFonts w:hint="eastAsia" w:ascii="Times New Roman" w:hAnsi="Times New Roman" w:eastAsia="黑体"/>
          <w:sz w:val="32"/>
          <w:szCs w:val="32"/>
        </w:rPr>
        <w:t>一</w:t>
      </w:r>
      <w:r>
        <w:rPr>
          <w:rFonts w:ascii="Times New Roman" w:hAnsi="Times New Roman" w:eastAsia="黑体"/>
          <w:sz w:val="32"/>
          <w:szCs w:val="32"/>
        </w:rPr>
        <w:t>、大赛安全保障</w:t>
      </w:r>
    </w:p>
    <w:p>
      <w:pPr>
        <w:pStyle w:val="3"/>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为确保大赛赛事的安全，采取切实有效的措施保证大赛期间参赛选手、工作人员及观众的人身安全。根据提出的安全要点，制定相应制度文件，落实相关责任。</w:t>
      </w:r>
    </w:p>
    <w:p>
      <w:pPr>
        <w:pStyle w:val="3"/>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（一）赛场建立与公安、消防、司法行政、交通、卫生、食品、质检等相关部门的协调机制，保证比赛安全，制定应急预案，及时处置突发事件。</w:t>
      </w:r>
    </w:p>
    <w:p>
      <w:pPr>
        <w:pStyle w:val="3"/>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（二）大赛办公室在赛前组织专人对比赛现场、住宿场所和交通保障进行考察，并对安全工作提出明确要求。赛场的布置，赛场内的器材、设备，应符合国家有关安全规定。</w:t>
      </w:r>
    </w:p>
    <w:p>
      <w:pPr>
        <w:pStyle w:val="3"/>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（三）赛场周围设立警戒线，防止无关人员进入，发生意外事件。在具有危险性的操作环节， 裁判员要严防选手出现错误操作。</w:t>
      </w:r>
    </w:p>
    <w:p>
      <w:pPr>
        <w:pStyle w:val="3"/>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（四）大赛期间组织的参观和观摩活动的交通安全由大赛办公室负责。大赛办公室和比赛场地方须保证比赛期间选手、工作人员的交通安全。</w:t>
      </w:r>
    </w:p>
    <w:p>
      <w:pPr>
        <w:pStyle w:val="3"/>
        <w:spacing w:line="560" w:lineRule="exact"/>
        <w:ind w:firstLine="640"/>
        <w:rPr>
          <w:rFonts w:hint="eastAsia" w:ascii="Times New Roman" w:hAnsi="Times New Roman" w:eastAsia="仿宋_GB2312"/>
          <w:sz w:val="32"/>
          <w:szCs w:val="32"/>
        </w:rPr>
      </w:pPr>
      <w:r>
        <w:rPr>
          <w:rFonts w:hint="eastAsia" w:ascii="Times New Roman" w:hAnsi="Times New Roman" w:eastAsia="仿宋_GB2312"/>
          <w:sz w:val="32"/>
          <w:szCs w:val="32"/>
        </w:rPr>
        <w:t>（五）</w:t>
      </w:r>
      <w:r>
        <w:rPr>
          <w:rFonts w:ascii="Times New Roman" w:hAnsi="Times New Roman" w:eastAsia="仿宋_GB2312"/>
          <w:sz w:val="32"/>
          <w:szCs w:val="32"/>
        </w:rPr>
        <w:t>各参赛选手</w:t>
      </w:r>
      <w:r>
        <w:rPr>
          <w:rFonts w:hint="eastAsia" w:ascii="Times New Roman" w:hAnsi="Times New Roman" w:eastAsia="仿宋_GB2312"/>
          <w:sz w:val="32"/>
          <w:szCs w:val="32"/>
        </w:rPr>
        <w:t>须</w:t>
      </w:r>
      <w:r>
        <w:rPr>
          <w:rFonts w:ascii="Times New Roman" w:hAnsi="Times New Roman" w:eastAsia="仿宋_GB2312"/>
          <w:sz w:val="32"/>
          <w:szCs w:val="32"/>
        </w:rPr>
        <w:t>自行购买比赛期间的人身意外保险</w:t>
      </w:r>
      <w:r>
        <w:rPr>
          <w:rFonts w:hint="eastAsia" w:ascii="Times New Roman" w:hAnsi="Times New Roman" w:eastAsia="仿宋_GB2312"/>
          <w:sz w:val="32"/>
          <w:szCs w:val="32"/>
        </w:rPr>
        <w:t>。</w:t>
      </w:r>
    </w:p>
    <w:p>
      <w:pPr>
        <w:pStyle w:val="3"/>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六）比赛期间发生意外事故时，发现者应第一时间报告大赛办公室，同时采取措施，避免事态扩大。大赛办公室应立即启动预案予以解决并向大赛组委会报告。出现重大安全问题，比赛可以停赛，是否停赛由大赛组委会决定。</w:t>
      </w:r>
    </w:p>
    <w:p>
      <w:pPr>
        <w:pStyle w:val="3"/>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（七）赛场由裁判员监督完成比赛设备通电前的检查全过程，对出现的操作隐患及时提醒和制止。比赛过程中，参赛选手应严格遵守安全操作规程，遇有紧急情况，应立即切断电源，在工作人员安排下有序退场。</w:t>
      </w:r>
    </w:p>
    <w:p>
      <w:pPr>
        <w:pStyle w:val="3"/>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（八）赛场提供应急医疗措施和消防措施。</w:t>
      </w:r>
    </w:p>
    <w:p>
      <w:pPr>
        <w:pStyle w:val="3"/>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十</w:t>
      </w:r>
      <w:r>
        <w:rPr>
          <w:rFonts w:hint="eastAsia" w:ascii="Times New Roman" w:hAnsi="Times New Roman" w:eastAsia="黑体"/>
          <w:sz w:val="32"/>
          <w:szCs w:val="32"/>
        </w:rPr>
        <w:t>二</w:t>
      </w:r>
      <w:r>
        <w:rPr>
          <w:rFonts w:ascii="Times New Roman" w:hAnsi="Times New Roman" w:eastAsia="黑体"/>
          <w:sz w:val="32"/>
          <w:szCs w:val="32"/>
        </w:rPr>
        <w:t>、大赛组织与管理</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（一）大赛设备与设施管理</w:t>
      </w:r>
    </w:p>
    <w:p>
      <w:pPr>
        <w:spacing w:line="560" w:lineRule="exact"/>
        <w:ind w:firstLine="640" w:firstLineChars="200"/>
        <w:rPr>
          <w:rFonts w:eastAsia="仿宋_GB2312"/>
          <w:sz w:val="32"/>
          <w:szCs w:val="32"/>
        </w:rPr>
      </w:pPr>
      <w:r>
        <w:rPr>
          <w:rFonts w:eastAsia="仿宋_GB2312"/>
          <w:sz w:val="32"/>
          <w:szCs w:val="32"/>
        </w:rPr>
        <w:t>1.赛场条件</w:t>
      </w:r>
    </w:p>
    <w:p>
      <w:pPr>
        <w:spacing w:line="560" w:lineRule="exact"/>
        <w:ind w:firstLine="640" w:firstLineChars="200"/>
        <w:rPr>
          <w:rFonts w:eastAsia="仿宋_GB2312"/>
          <w:sz w:val="32"/>
          <w:szCs w:val="32"/>
        </w:rPr>
      </w:pPr>
      <w:r>
        <w:rPr>
          <w:rFonts w:eastAsia="仿宋_GB2312"/>
          <w:sz w:val="32"/>
          <w:szCs w:val="32"/>
        </w:rPr>
        <w:t>（1）赛场布置，贯彻赛场集中，工位独立的原则。选手大赛单元相对独立，确保选手独立开展比赛，不受外界影响；工位集中布置，保证大赛氛围。</w:t>
      </w:r>
    </w:p>
    <w:p>
      <w:pPr>
        <w:spacing w:line="560" w:lineRule="exact"/>
        <w:ind w:firstLine="640" w:firstLineChars="200"/>
        <w:rPr>
          <w:rFonts w:eastAsia="仿宋_GB2312"/>
          <w:sz w:val="32"/>
          <w:szCs w:val="32"/>
        </w:rPr>
      </w:pPr>
      <w:r>
        <w:rPr>
          <w:rFonts w:eastAsia="仿宋_GB2312"/>
          <w:sz w:val="32"/>
          <w:szCs w:val="32"/>
        </w:rPr>
        <w:t>（2）卫生间、医疗、维修服务、生活补给站和垃圾分类回收点都在警戒线范围内，以确保大赛在相对安全的环境内进行。</w:t>
      </w:r>
    </w:p>
    <w:p>
      <w:pPr>
        <w:spacing w:line="560" w:lineRule="exact"/>
        <w:ind w:firstLine="640" w:firstLineChars="200"/>
        <w:rPr>
          <w:rFonts w:eastAsia="仿宋_GB2312"/>
          <w:sz w:val="32"/>
          <w:szCs w:val="32"/>
        </w:rPr>
      </w:pPr>
      <w:r>
        <w:rPr>
          <w:rFonts w:eastAsia="仿宋_GB2312"/>
          <w:sz w:val="32"/>
          <w:szCs w:val="32"/>
        </w:rPr>
        <w:t>（3）设置安全通道和警戒线，确保进入赛场的参观、采访和视察的人员在安全区域内活动，以保证大赛安全有序进行。</w:t>
      </w:r>
    </w:p>
    <w:p>
      <w:pPr>
        <w:spacing w:line="560" w:lineRule="exact"/>
        <w:ind w:firstLine="640" w:firstLineChars="200"/>
        <w:rPr>
          <w:rFonts w:eastAsia="仿宋_GB2312"/>
          <w:sz w:val="32"/>
          <w:szCs w:val="32"/>
        </w:rPr>
      </w:pPr>
      <w:r>
        <w:rPr>
          <w:rFonts w:eastAsia="仿宋_GB2312"/>
          <w:sz w:val="32"/>
          <w:szCs w:val="32"/>
        </w:rPr>
        <w:t>2．大赛保障</w:t>
      </w:r>
    </w:p>
    <w:p>
      <w:pPr>
        <w:spacing w:line="560" w:lineRule="exact"/>
        <w:ind w:firstLine="640" w:firstLineChars="200"/>
        <w:rPr>
          <w:rFonts w:eastAsia="仿宋_GB2312"/>
          <w:sz w:val="32"/>
          <w:szCs w:val="32"/>
        </w:rPr>
      </w:pPr>
      <w:r>
        <w:rPr>
          <w:rFonts w:eastAsia="仿宋_GB2312"/>
          <w:sz w:val="32"/>
          <w:szCs w:val="32"/>
        </w:rPr>
        <w:t>（1）建立完善的大赛保障组织管理机制，做到各比赛单元均有专人负责指挥和协调，确保大赛有序进行。</w:t>
      </w:r>
    </w:p>
    <w:p>
      <w:pPr>
        <w:spacing w:line="560" w:lineRule="exact"/>
        <w:ind w:firstLine="640" w:firstLineChars="200"/>
        <w:rPr>
          <w:rFonts w:eastAsia="仿宋_GB2312"/>
          <w:sz w:val="32"/>
          <w:szCs w:val="32"/>
        </w:rPr>
      </w:pPr>
      <w:r>
        <w:rPr>
          <w:rFonts w:eastAsia="仿宋_GB2312"/>
          <w:sz w:val="32"/>
          <w:szCs w:val="32"/>
        </w:rPr>
        <w:t>（2）设置生活保障组，为大赛选手与裁判提供相应的生活服务和后勤保障。</w:t>
      </w:r>
    </w:p>
    <w:p>
      <w:pPr>
        <w:spacing w:line="560" w:lineRule="exact"/>
        <w:ind w:firstLine="640" w:firstLineChars="200"/>
        <w:rPr>
          <w:rFonts w:eastAsia="仿宋_GB2312"/>
          <w:sz w:val="32"/>
          <w:szCs w:val="32"/>
        </w:rPr>
      </w:pPr>
      <w:r>
        <w:rPr>
          <w:rFonts w:eastAsia="仿宋_GB2312"/>
          <w:sz w:val="32"/>
          <w:szCs w:val="32"/>
        </w:rPr>
        <w:t>（3）设置技术保障组，为大赛设备、软件与大赛设施提供保养、维修等服务，保障设备的完好性和正常使用，保障设备配件与操作工具的及时供应。竞赛现场提供应急的备用电源，同时设置备用工位和设备，经现场裁判确定需要更换设备或者调整工位时，可及时更换。更换设备或者调整工位的时间，可在比赛结束后相应延时。</w:t>
      </w:r>
    </w:p>
    <w:p>
      <w:pPr>
        <w:spacing w:line="560" w:lineRule="exact"/>
        <w:ind w:firstLine="640" w:firstLineChars="200"/>
        <w:rPr>
          <w:rFonts w:eastAsia="仿宋_GB2312"/>
          <w:sz w:val="32"/>
          <w:szCs w:val="32"/>
        </w:rPr>
      </w:pPr>
      <w:r>
        <w:rPr>
          <w:rFonts w:eastAsia="仿宋_GB2312"/>
          <w:sz w:val="32"/>
          <w:szCs w:val="32"/>
        </w:rPr>
        <w:t>（4）设置医疗保障服务站，为可能发生的事故提供伤口处理等应急服务。</w:t>
      </w:r>
    </w:p>
    <w:p>
      <w:pPr>
        <w:spacing w:line="560" w:lineRule="exact"/>
        <w:ind w:firstLine="640" w:firstLineChars="200"/>
        <w:rPr>
          <w:rFonts w:eastAsia="仿宋_GB2312"/>
          <w:sz w:val="32"/>
          <w:szCs w:val="32"/>
        </w:rPr>
      </w:pPr>
      <w:r>
        <w:rPr>
          <w:rFonts w:eastAsia="仿宋_GB2312"/>
          <w:sz w:val="32"/>
          <w:szCs w:val="32"/>
        </w:rPr>
        <w:t>（5）设置外围安保组，对赛场核心区域的外围进行警戒与引导服务。</w:t>
      </w:r>
    </w:p>
    <w:p>
      <w:pPr>
        <w:spacing w:line="560" w:lineRule="exact"/>
        <w:ind w:firstLine="640" w:firstLineChars="200"/>
        <w:rPr>
          <w:rFonts w:eastAsia="仿宋_GB2312"/>
          <w:sz w:val="32"/>
          <w:szCs w:val="32"/>
        </w:rPr>
      </w:pPr>
      <w:r>
        <w:rPr>
          <w:rFonts w:eastAsia="仿宋_GB2312"/>
          <w:sz w:val="32"/>
          <w:szCs w:val="32"/>
        </w:rPr>
        <w:t>3．赛场布置</w:t>
      </w:r>
    </w:p>
    <w:p>
      <w:pPr>
        <w:spacing w:line="560" w:lineRule="exact"/>
        <w:ind w:firstLine="640" w:firstLineChars="200"/>
        <w:rPr>
          <w:rFonts w:eastAsia="仿宋_GB2312"/>
          <w:sz w:val="32"/>
          <w:szCs w:val="32"/>
        </w:rPr>
      </w:pPr>
      <w:r>
        <w:rPr>
          <w:rFonts w:eastAsia="仿宋_GB2312"/>
          <w:sz w:val="32"/>
          <w:szCs w:val="32"/>
        </w:rPr>
        <w:t>（1）赛场应进行周密设计，绘制满足赛事管理、引导、指示要求的平面图。大赛举行期间，应在比赛场所、人员密集的地方张贴标识。</w:t>
      </w:r>
    </w:p>
    <w:p>
      <w:pPr>
        <w:spacing w:line="560" w:lineRule="exact"/>
        <w:ind w:firstLine="640" w:firstLineChars="200"/>
        <w:rPr>
          <w:rFonts w:eastAsia="仿宋_GB2312"/>
          <w:sz w:val="32"/>
          <w:szCs w:val="32"/>
        </w:rPr>
      </w:pPr>
      <w:r>
        <w:rPr>
          <w:rFonts w:eastAsia="仿宋_GB2312"/>
          <w:sz w:val="32"/>
          <w:szCs w:val="32"/>
        </w:rPr>
        <w:t>（2）赛场平面图上应标明安全出口、消防通道、警戒区、紧急事件发生时的疏散通道。</w:t>
      </w:r>
    </w:p>
    <w:p>
      <w:pPr>
        <w:spacing w:line="560" w:lineRule="exact"/>
        <w:ind w:firstLine="640" w:firstLineChars="200"/>
        <w:rPr>
          <w:rFonts w:eastAsia="仿宋_GB2312"/>
          <w:sz w:val="32"/>
          <w:szCs w:val="32"/>
        </w:rPr>
      </w:pPr>
      <w:r>
        <w:rPr>
          <w:rFonts w:eastAsia="仿宋_GB2312"/>
          <w:sz w:val="32"/>
          <w:szCs w:val="32"/>
        </w:rPr>
        <w:t>（3）赛场的标注、标识应进行统一设计，按规定使用大赛的标注、标识。赛场各功能区域、工位等应具有清晰的标注与标识。</w:t>
      </w:r>
    </w:p>
    <w:p>
      <w:pPr>
        <w:spacing w:line="560" w:lineRule="exact"/>
        <w:ind w:firstLine="640" w:firstLineChars="200"/>
        <w:rPr>
          <w:rFonts w:eastAsia="仿宋_GB2312"/>
          <w:sz w:val="32"/>
          <w:szCs w:val="32"/>
        </w:rPr>
      </w:pPr>
      <w:r>
        <w:rPr>
          <w:rFonts w:eastAsia="仿宋_GB2312"/>
          <w:sz w:val="32"/>
          <w:szCs w:val="32"/>
        </w:rPr>
        <w:t>（4）工位上张贴各种设备的安全文明生产操作规程。</w:t>
      </w:r>
    </w:p>
    <w:p>
      <w:pPr>
        <w:spacing w:line="560" w:lineRule="exact"/>
        <w:ind w:firstLine="640" w:firstLineChars="200"/>
        <w:rPr>
          <w:rFonts w:eastAsia="仿宋_GB2312"/>
          <w:sz w:val="32"/>
          <w:szCs w:val="32"/>
        </w:rPr>
      </w:pPr>
      <w:r>
        <w:rPr>
          <w:rFonts w:eastAsia="仿宋_GB2312"/>
          <w:sz w:val="32"/>
          <w:szCs w:val="32"/>
        </w:rPr>
        <w:t>4．安全防范措施</w:t>
      </w:r>
    </w:p>
    <w:p>
      <w:pPr>
        <w:spacing w:line="560" w:lineRule="exact"/>
        <w:ind w:firstLine="640" w:firstLineChars="200"/>
        <w:rPr>
          <w:rFonts w:eastAsia="仿宋_GB2312"/>
          <w:sz w:val="32"/>
          <w:szCs w:val="32"/>
        </w:rPr>
      </w:pPr>
      <w:r>
        <w:rPr>
          <w:rFonts w:eastAsia="仿宋_GB2312"/>
          <w:sz w:val="32"/>
          <w:szCs w:val="32"/>
        </w:rPr>
        <w:t>（1）根据大赛具体特点做好安全事故应急预案。</w:t>
      </w:r>
    </w:p>
    <w:p>
      <w:pPr>
        <w:spacing w:line="560" w:lineRule="exact"/>
        <w:ind w:firstLine="640" w:firstLineChars="200"/>
        <w:rPr>
          <w:rFonts w:eastAsia="仿宋_GB2312"/>
          <w:sz w:val="32"/>
          <w:szCs w:val="32"/>
        </w:rPr>
      </w:pPr>
      <w:r>
        <w:rPr>
          <w:rFonts w:eastAsia="仿宋_GB2312"/>
          <w:sz w:val="32"/>
          <w:szCs w:val="32"/>
        </w:rPr>
        <w:t>（2）赛前应组织安保人员进行培训，提前进行安全教育和演习，使安保人员熟悉大赛的安全预案，明确各自的分工和职责。督促各部门检查消防设施，做好安全保卫工作，防止火灾、盗窃现象发生，要按时关窗锁门，确保大赛期间赛场财产的安全。</w:t>
      </w:r>
    </w:p>
    <w:p>
      <w:pPr>
        <w:spacing w:line="560" w:lineRule="exact"/>
        <w:ind w:firstLine="640" w:firstLineChars="200"/>
        <w:rPr>
          <w:rFonts w:eastAsia="仿宋_GB2312"/>
          <w:sz w:val="32"/>
          <w:szCs w:val="32"/>
        </w:rPr>
      </w:pPr>
      <w:r>
        <w:rPr>
          <w:rFonts w:eastAsia="仿宋_GB2312"/>
          <w:sz w:val="32"/>
          <w:szCs w:val="32"/>
        </w:rPr>
        <w:t>（3）比赛过程中如若发生安全事故，应立即报告现场总指挥，同时启动事故处理应急预案，各类人员按照分工各尽其责，立即展开现场抢救和组织人员疏散，最大限度地减少人员伤害及财产损失。</w:t>
      </w:r>
    </w:p>
    <w:p>
      <w:pPr>
        <w:spacing w:line="560" w:lineRule="exact"/>
        <w:ind w:firstLine="640" w:firstLineChars="200"/>
        <w:rPr>
          <w:rFonts w:eastAsia="仿宋_GB2312"/>
          <w:sz w:val="32"/>
          <w:szCs w:val="32"/>
        </w:rPr>
      </w:pPr>
      <w:r>
        <w:rPr>
          <w:rFonts w:eastAsia="仿宋_GB2312"/>
          <w:sz w:val="32"/>
          <w:szCs w:val="32"/>
        </w:rPr>
        <w:t>（4）比赛结束时，要及时进行安全检查，重点做好防火、防盗以及电气、设备的安全检查，防止因疏忽而发生事故。</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 大赛监督与仲裁管理</w:t>
      </w:r>
    </w:p>
    <w:p>
      <w:pPr>
        <w:spacing w:line="560" w:lineRule="exact"/>
        <w:ind w:firstLine="640" w:firstLineChars="200"/>
        <w:rPr>
          <w:rFonts w:eastAsia="仿宋_GB2312"/>
          <w:sz w:val="32"/>
          <w:szCs w:val="32"/>
        </w:rPr>
      </w:pPr>
      <w:r>
        <w:rPr>
          <w:rFonts w:eastAsia="仿宋_GB2312"/>
          <w:sz w:val="32"/>
          <w:szCs w:val="32"/>
        </w:rPr>
        <w:t>1.大赛监督</w:t>
      </w:r>
    </w:p>
    <w:p>
      <w:pPr>
        <w:spacing w:line="560" w:lineRule="exact"/>
        <w:ind w:firstLine="640" w:firstLineChars="200"/>
        <w:rPr>
          <w:rFonts w:eastAsia="仿宋_GB2312"/>
          <w:sz w:val="32"/>
          <w:szCs w:val="32"/>
        </w:rPr>
      </w:pPr>
      <w:r>
        <w:rPr>
          <w:rFonts w:eastAsia="仿宋_GB2312"/>
          <w:sz w:val="32"/>
          <w:szCs w:val="32"/>
        </w:rPr>
        <w:t>（1）监督组在大赛办公室领导下，负责对大赛筹备与组织工作，实施全程现场监督。</w:t>
      </w:r>
    </w:p>
    <w:p>
      <w:pPr>
        <w:spacing w:line="560" w:lineRule="exact"/>
        <w:ind w:firstLine="640" w:firstLineChars="200"/>
        <w:rPr>
          <w:rFonts w:eastAsia="仿宋_GB2312"/>
          <w:sz w:val="32"/>
          <w:szCs w:val="32"/>
        </w:rPr>
      </w:pPr>
      <w:r>
        <w:rPr>
          <w:rFonts w:eastAsia="仿宋_GB2312"/>
          <w:sz w:val="32"/>
          <w:szCs w:val="32"/>
        </w:rPr>
        <w:t>（2）监督组的监督内容包括大赛场地和设施的部署、选手抽签、裁判培训、大赛组织、成绩评判及汇总、成绩发布、申诉仲裁、成绩复核等。</w:t>
      </w:r>
    </w:p>
    <w:p>
      <w:pPr>
        <w:spacing w:line="560" w:lineRule="exact"/>
        <w:ind w:firstLine="640" w:firstLineChars="200"/>
        <w:rPr>
          <w:rFonts w:eastAsia="仿宋_GB2312"/>
          <w:sz w:val="32"/>
          <w:szCs w:val="32"/>
        </w:rPr>
      </w:pPr>
      <w:r>
        <w:rPr>
          <w:rFonts w:eastAsia="仿宋_GB2312"/>
          <w:sz w:val="32"/>
          <w:szCs w:val="32"/>
        </w:rPr>
        <w:t>（3）监督组对比赛过程中明显违规现象，应及时向大赛办公室提出改正建议，同时采取必要技术手段，留取监督的过程资料。比赛结束后,向大赛组委会提报监督工作报告。</w:t>
      </w:r>
    </w:p>
    <w:p>
      <w:pPr>
        <w:spacing w:line="560" w:lineRule="exact"/>
        <w:ind w:firstLine="640" w:firstLineChars="200"/>
        <w:rPr>
          <w:rFonts w:eastAsia="仿宋_GB2312"/>
          <w:sz w:val="32"/>
          <w:szCs w:val="32"/>
        </w:rPr>
      </w:pPr>
      <w:r>
        <w:rPr>
          <w:rFonts w:eastAsia="仿宋_GB2312"/>
          <w:sz w:val="32"/>
          <w:szCs w:val="32"/>
        </w:rPr>
        <w:t>（4）监督组不参与具体的赛事组织活动。</w:t>
      </w:r>
    </w:p>
    <w:p>
      <w:pPr>
        <w:spacing w:line="560" w:lineRule="exact"/>
        <w:ind w:firstLine="640" w:firstLineChars="200"/>
        <w:rPr>
          <w:rFonts w:eastAsia="仿宋_GB2312"/>
          <w:sz w:val="32"/>
          <w:szCs w:val="32"/>
        </w:rPr>
      </w:pPr>
      <w:r>
        <w:rPr>
          <w:rFonts w:eastAsia="仿宋_GB2312"/>
          <w:sz w:val="32"/>
          <w:szCs w:val="32"/>
        </w:rPr>
        <w:t>2.申诉与仲裁</w:t>
      </w:r>
    </w:p>
    <w:p>
      <w:pPr>
        <w:spacing w:line="560" w:lineRule="exact"/>
        <w:ind w:firstLine="640" w:firstLineChars="200"/>
        <w:rPr>
          <w:rFonts w:eastAsia="仿宋_GB2312"/>
          <w:sz w:val="32"/>
          <w:szCs w:val="32"/>
        </w:rPr>
      </w:pPr>
      <w:r>
        <w:rPr>
          <w:rFonts w:eastAsia="仿宋_GB2312"/>
          <w:sz w:val="32"/>
          <w:szCs w:val="32"/>
        </w:rPr>
        <w:t>（1）各参赛选手对不符合大赛规程规定的仪器、设备、工装、材料、物件、计算机软硬件、大赛使用工具、用品，大赛执裁、赛场管理、比赛成绩，以及工作人员的不规范行为等，可向大赛仲裁组提出申诉。</w:t>
      </w:r>
    </w:p>
    <w:p>
      <w:pPr>
        <w:spacing w:line="560" w:lineRule="exact"/>
        <w:ind w:firstLine="640" w:firstLineChars="200"/>
        <w:rPr>
          <w:rFonts w:eastAsia="仿宋_GB2312"/>
          <w:sz w:val="32"/>
          <w:szCs w:val="32"/>
        </w:rPr>
      </w:pPr>
      <w:r>
        <w:rPr>
          <w:rFonts w:eastAsia="仿宋_GB2312"/>
          <w:sz w:val="32"/>
          <w:szCs w:val="32"/>
        </w:rPr>
        <w:t>（2）申诉主体为参赛选手。</w:t>
      </w:r>
    </w:p>
    <w:p>
      <w:pPr>
        <w:spacing w:line="560" w:lineRule="exact"/>
        <w:ind w:firstLine="640" w:firstLineChars="200"/>
        <w:rPr>
          <w:rFonts w:eastAsia="仿宋_GB2312"/>
          <w:sz w:val="32"/>
          <w:szCs w:val="32"/>
        </w:rPr>
      </w:pPr>
      <w:r>
        <w:rPr>
          <w:rFonts w:eastAsia="仿宋_GB2312"/>
          <w:sz w:val="32"/>
          <w:szCs w:val="32"/>
        </w:rPr>
        <w:t>（3）申诉启动时，参赛选手以亲笔签字的书面报告的形式递交大赛仲裁组。报告应对申诉事件的现象、发生时间、涉及人员、申诉依据等进行充分、实事求是的叙述。非书面申诉不予受理。</w:t>
      </w:r>
    </w:p>
    <w:p>
      <w:pPr>
        <w:spacing w:line="560" w:lineRule="exact"/>
        <w:ind w:firstLine="640" w:firstLineChars="200"/>
        <w:rPr>
          <w:rFonts w:eastAsia="仿宋_GB2312"/>
          <w:sz w:val="32"/>
          <w:szCs w:val="32"/>
        </w:rPr>
      </w:pPr>
      <w:r>
        <w:rPr>
          <w:rFonts w:eastAsia="仿宋_GB2312"/>
          <w:sz w:val="32"/>
          <w:szCs w:val="32"/>
        </w:rPr>
        <w:t>（4）提出申诉应在比赛结束后不超过2小时内提出。超过时效不予受理。</w:t>
      </w:r>
    </w:p>
    <w:p>
      <w:pPr>
        <w:spacing w:line="560" w:lineRule="exact"/>
        <w:ind w:firstLine="640" w:firstLineChars="200"/>
        <w:rPr>
          <w:rFonts w:eastAsia="仿宋_GB2312"/>
          <w:sz w:val="32"/>
          <w:szCs w:val="32"/>
        </w:rPr>
      </w:pPr>
      <w:r>
        <w:rPr>
          <w:rFonts w:eastAsia="仿宋_GB2312"/>
          <w:sz w:val="32"/>
          <w:szCs w:val="32"/>
        </w:rPr>
        <w:t>（5）大赛仲裁工作组在接到申诉报告后的2小时内组织复议，并及时将复议结果以书面形式告知申诉方。申诉方对复议结果仍有异议，由大赛组委会机构向大赛办公室提出申诉。大赛办公室的仲裁结果为最终结果。</w:t>
      </w:r>
    </w:p>
    <w:p>
      <w:pPr>
        <w:spacing w:line="560" w:lineRule="exact"/>
        <w:ind w:firstLine="640" w:firstLineChars="200"/>
        <w:rPr>
          <w:rFonts w:eastAsia="仿宋_GB2312"/>
          <w:sz w:val="32"/>
          <w:szCs w:val="32"/>
        </w:rPr>
      </w:pPr>
      <w:r>
        <w:rPr>
          <w:rFonts w:eastAsia="仿宋_GB2312"/>
          <w:sz w:val="32"/>
          <w:szCs w:val="32"/>
        </w:rPr>
        <w:t>（6）申诉方不得以任何理由拒绝接收仲裁结果；不得以任何理由采取过激行为扰乱赛场秩序；仲裁结果由申诉人签收，不能代收；如在约定时间和地点申诉人离开，视为自行放弃申诉。</w:t>
      </w:r>
    </w:p>
    <w:p>
      <w:pPr>
        <w:spacing w:line="560" w:lineRule="exact"/>
        <w:ind w:firstLine="640" w:firstLineChars="200"/>
        <w:rPr>
          <w:rFonts w:eastAsia="仿宋_GB2312"/>
          <w:sz w:val="32"/>
          <w:szCs w:val="32"/>
        </w:rPr>
      </w:pPr>
      <w:r>
        <w:rPr>
          <w:rFonts w:eastAsia="仿宋_GB2312"/>
          <w:sz w:val="32"/>
          <w:szCs w:val="32"/>
        </w:rPr>
        <w:t>（7）申诉方可随时提出放弃申诉。</w:t>
      </w:r>
    </w:p>
    <w:p>
      <w:pPr>
        <w:pStyle w:val="3"/>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十三、裁判人员要求</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（一）裁判人员组成</w:t>
      </w:r>
    </w:p>
    <w:p>
      <w:pPr>
        <w:spacing w:line="560" w:lineRule="exact"/>
        <w:ind w:firstLine="640" w:firstLineChars="200"/>
        <w:rPr>
          <w:rFonts w:eastAsia="仿宋_GB2312"/>
          <w:sz w:val="32"/>
          <w:szCs w:val="32"/>
        </w:rPr>
      </w:pPr>
      <w:r>
        <w:rPr>
          <w:rFonts w:eastAsia="仿宋_GB2312"/>
          <w:sz w:val="32"/>
          <w:szCs w:val="32"/>
        </w:rPr>
        <w:t>大赛的裁判工作由裁判长、副裁判长、加密裁判、检录裁判、现场裁判、评分裁判组成。</w:t>
      </w:r>
    </w:p>
    <w:p>
      <w:pPr>
        <w:spacing w:line="560"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（二）裁判人员要求</w:t>
      </w:r>
    </w:p>
    <w:p>
      <w:pPr>
        <w:spacing w:line="560" w:lineRule="exact"/>
        <w:ind w:firstLine="640" w:firstLineChars="200"/>
        <w:rPr>
          <w:rFonts w:eastAsia="仿宋_GB2312"/>
          <w:sz w:val="32"/>
          <w:szCs w:val="32"/>
        </w:rPr>
      </w:pPr>
      <w:r>
        <w:rPr>
          <w:rFonts w:eastAsia="仿宋_GB2312"/>
          <w:sz w:val="32"/>
          <w:szCs w:val="32"/>
        </w:rPr>
        <w:t>1.具有良好的职业道德和心理素质，严守竞赛纪律，服从组织安排</w:t>
      </w:r>
      <w:r>
        <w:rPr>
          <w:rFonts w:hint="eastAsia" w:eastAsia="仿宋_GB2312"/>
          <w:sz w:val="32"/>
          <w:szCs w:val="32"/>
        </w:rPr>
        <w:t>，</w:t>
      </w:r>
      <w:r>
        <w:rPr>
          <w:rFonts w:eastAsia="仿宋_GB2312"/>
          <w:sz w:val="32"/>
          <w:szCs w:val="32"/>
        </w:rPr>
        <w:t>责任心强；</w:t>
      </w:r>
    </w:p>
    <w:p>
      <w:pPr>
        <w:spacing w:line="560" w:lineRule="exact"/>
        <w:ind w:firstLine="640" w:firstLineChars="200"/>
        <w:rPr>
          <w:rFonts w:eastAsia="仿宋_GB2312"/>
          <w:sz w:val="32"/>
          <w:szCs w:val="32"/>
        </w:rPr>
      </w:pPr>
      <w:r>
        <w:rPr>
          <w:rFonts w:eastAsia="仿宋_GB2312"/>
          <w:sz w:val="32"/>
          <w:szCs w:val="32"/>
        </w:rPr>
        <w:t>2. 评分裁判须从事计算机专业（职业）相关工作2年以上（含2 年），具备深厚的专业理论知识和较高的实践技能水平，具有省级或行业职业技能竞赛执裁经验；</w:t>
      </w:r>
    </w:p>
    <w:p>
      <w:pPr>
        <w:spacing w:line="560" w:lineRule="exact"/>
        <w:ind w:firstLine="640" w:firstLineChars="200"/>
        <w:rPr>
          <w:rFonts w:eastAsia="仿宋_GB2312"/>
          <w:sz w:val="32"/>
          <w:szCs w:val="32"/>
        </w:rPr>
      </w:pPr>
      <w:r>
        <w:rPr>
          <w:rFonts w:eastAsia="仿宋_GB2312"/>
          <w:sz w:val="32"/>
          <w:szCs w:val="32"/>
        </w:rPr>
        <w:t>3.有较强的组织协调能力和临场应变能力；</w:t>
      </w:r>
    </w:p>
    <w:p>
      <w:pPr>
        <w:spacing w:line="560" w:lineRule="exact"/>
        <w:ind w:firstLine="640" w:firstLineChars="200"/>
        <w:rPr>
          <w:rFonts w:eastAsia="仿宋_GB2312"/>
          <w:sz w:val="32"/>
          <w:szCs w:val="32"/>
        </w:rPr>
      </w:pPr>
      <w:r>
        <w:rPr>
          <w:rFonts w:eastAsia="仿宋_GB2312"/>
          <w:sz w:val="32"/>
          <w:szCs w:val="32"/>
        </w:rPr>
        <w:t>4.年龄原则上不超过60周岁，身体健康，无任何违法违纪记录，且获得工作单位支持，能在规定时间内到岗，并按要求完成指定裁判工作。</w:t>
      </w:r>
    </w:p>
    <w:p>
      <w:pPr>
        <w:spacing w:line="560" w:lineRule="exact"/>
        <w:ind w:firstLine="640" w:firstLineChars="200"/>
        <w:rPr>
          <w:rFonts w:eastAsia="仿宋_GB2312"/>
          <w:sz w:val="32"/>
          <w:szCs w:val="32"/>
        </w:rPr>
      </w:pPr>
      <w:r>
        <w:rPr>
          <w:rFonts w:eastAsia="仿宋_GB2312"/>
          <w:sz w:val="32"/>
          <w:szCs w:val="32"/>
        </w:rPr>
        <w:t>5.加密裁判、检录裁判由大赛办公室指派责任心强的专业人员担任。</w:t>
      </w:r>
    </w:p>
    <w:p>
      <w:pPr>
        <w:spacing w:line="560" w:lineRule="exact"/>
        <w:ind w:firstLine="640" w:firstLineChars="200"/>
        <w:rPr>
          <w:rFonts w:eastAsia="仿宋_GB2312"/>
          <w:sz w:val="32"/>
          <w:szCs w:val="32"/>
        </w:rPr>
      </w:pPr>
      <w:r>
        <w:rPr>
          <w:rFonts w:eastAsia="仿宋_GB2312"/>
          <w:sz w:val="32"/>
          <w:szCs w:val="32"/>
        </w:rPr>
        <w:t>6.竞赛中所有裁判人员不得影响选手正常竞赛。</w:t>
      </w:r>
    </w:p>
    <w:p>
      <w:pPr>
        <w:spacing w:line="560" w:lineRule="exact"/>
        <w:ind w:firstLine="640" w:firstLineChars="200"/>
        <w:rPr>
          <w:rFonts w:eastAsia="仿宋_GB2312"/>
          <w:sz w:val="32"/>
          <w:szCs w:val="32"/>
        </w:rPr>
      </w:pPr>
      <w:r>
        <w:rPr>
          <w:rFonts w:eastAsia="仿宋_GB2312"/>
          <w:sz w:val="32"/>
          <w:szCs w:val="32"/>
        </w:rPr>
        <w:t>7.评分裁判严格执行竞赛项目评分标准，做到公平、公正、真实、准确，杜绝随意打分；严禁利用工作之便，弄虚作假、徇私舞弊。</w:t>
      </w:r>
    </w:p>
    <w:p>
      <w:pPr>
        <w:spacing w:line="560" w:lineRule="exact"/>
        <w:ind w:firstLine="640" w:firstLineChars="200"/>
        <w:rPr>
          <w:rFonts w:eastAsia="仿宋_GB2312"/>
          <w:sz w:val="32"/>
          <w:szCs w:val="32"/>
        </w:rPr>
      </w:pPr>
      <w:r>
        <w:rPr>
          <w:rFonts w:eastAsia="仿宋_GB2312"/>
          <w:sz w:val="32"/>
          <w:szCs w:val="32"/>
        </w:rPr>
        <w:t>8.现场裁判要提醒选手注意操作安全，对于选手的违规操作或有可能引发人身伤害、设备损坏等事故的行为，应立即制止并按规定扣分，对于参赛选手作弊的情况取消其比赛资格。</w:t>
      </w:r>
    </w:p>
    <w:p>
      <w:pPr>
        <w:spacing w:line="560" w:lineRule="exact"/>
        <w:ind w:firstLine="640" w:firstLineChars="200"/>
        <w:rPr>
          <w:rFonts w:eastAsia="仿宋_GB2312"/>
          <w:sz w:val="32"/>
          <w:szCs w:val="32"/>
        </w:rPr>
      </w:pPr>
      <w:r>
        <w:rPr>
          <w:rFonts w:eastAsia="仿宋_GB2312"/>
          <w:sz w:val="32"/>
          <w:szCs w:val="32"/>
        </w:rPr>
        <w:t>9.竞赛期间，因裁判人员工作不负责任，造成竞赛程序无法继续进行或评判结果不真实的情况，由赛项组委会视情节轻重，给予通报批评或停止裁判资格，并通知其所在单位做出相应处理。</w:t>
      </w:r>
    </w:p>
    <w:p>
      <w:pPr>
        <w:pStyle w:val="3"/>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十</w:t>
      </w:r>
      <w:r>
        <w:rPr>
          <w:rFonts w:hint="eastAsia" w:ascii="Times New Roman" w:hAnsi="Times New Roman" w:eastAsia="黑体"/>
          <w:sz w:val="32"/>
          <w:szCs w:val="32"/>
        </w:rPr>
        <w:t>四</w:t>
      </w:r>
      <w:r>
        <w:rPr>
          <w:rFonts w:ascii="Times New Roman" w:hAnsi="Times New Roman" w:eastAsia="黑体"/>
          <w:sz w:val="32"/>
          <w:szCs w:val="32"/>
        </w:rPr>
        <w:t>、</w:t>
      </w:r>
      <w:r>
        <w:rPr>
          <w:rFonts w:hint="eastAsia" w:ascii="Times New Roman" w:hAnsi="Times New Roman" w:eastAsia="黑体"/>
          <w:sz w:val="32"/>
          <w:szCs w:val="32"/>
        </w:rPr>
        <w:t>其他</w:t>
      </w:r>
      <w:r>
        <w:rPr>
          <w:rFonts w:ascii="Times New Roman" w:hAnsi="Times New Roman" w:eastAsia="黑体"/>
          <w:sz w:val="32"/>
          <w:szCs w:val="32"/>
        </w:rPr>
        <w:t>要求</w:t>
      </w:r>
    </w:p>
    <w:p>
      <w:pPr>
        <w:spacing w:line="560" w:lineRule="exact"/>
        <w:ind w:firstLine="640" w:firstLineChars="200"/>
        <w:rPr>
          <w:rFonts w:eastAsia="仿宋_GB2312"/>
          <w:sz w:val="32"/>
          <w:szCs w:val="32"/>
        </w:rPr>
      </w:pPr>
      <w:r>
        <w:rPr>
          <w:rFonts w:hint="eastAsia" w:eastAsia="仿宋_GB2312"/>
          <w:sz w:val="32"/>
          <w:szCs w:val="32"/>
        </w:rPr>
        <w:t>大赛组委会</w:t>
      </w:r>
      <w:r>
        <w:rPr>
          <w:rFonts w:eastAsia="仿宋_GB2312"/>
          <w:sz w:val="32"/>
          <w:szCs w:val="32"/>
        </w:rPr>
        <w:t>严格按照国家和我省关于组织职业技能竞赛有关要求，</w:t>
      </w:r>
      <w:r>
        <w:rPr>
          <w:rFonts w:hint="eastAsia" w:eastAsia="仿宋_GB2312"/>
          <w:sz w:val="32"/>
          <w:szCs w:val="32"/>
        </w:rPr>
        <w:t>做好</w:t>
      </w:r>
      <w:r>
        <w:rPr>
          <w:rFonts w:eastAsia="仿宋_GB2312"/>
          <w:sz w:val="32"/>
          <w:szCs w:val="32"/>
        </w:rPr>
        <w:t>各项会务保障</w:t>
      </w:r>
      <w:r>
        <w:rPr>
          <w:rFonts w:hint="eastAsia" w:eastAsia="仿宋_GB2312"/>
          <w:sz w:val="32"/>
          <w:szCs w:val="32"/>
        </w:rPr>
        <w:t>和应急管理</w:t>
      </w:r>
      <w:r>
        <w:rPr>
          <w:rFonts w:eastAsia="仿宋_GB2312"/>
          <w:sz w:val="32"/>
          <w:szCs w:val="32"/>
        </w:rPr>
        <w:t>工作，确保</w:t>
      </w:r>
      <w:r>
        <w:rPr>
          <w:rFonts w:hint="eastAsia" w:eastAsia="仿宋_GB2312"/>
          <w:sz w:val="32"/>
          <w:szCs w:val="32"/>
        </w:rPr>
        <w:t>赛事活动</w:t>
      </w:r>
      <w:r>
        <w:rPr>
          <w:rFonts w:eastAsia="仿宋_GB2312"/>
          <w:sz w:val="32"/>
          <w:szCs w:val="32"/>
        </w:rPr>
        <w:t>稳妥、安全、有序开展。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Lucida Grande">
    <w:altName w:val="宋体"/>
    <w:panose1 w:val="00000000000000000000"/>
    <w:charset w:val="01"/>
    <w:family w:val="auto"/>
    <w:pitch w:val="default"/>
    <w:sig w:usb0="00000000" w:usb1="00000000" w:usb2="00000000" w:usb3="00000000" w:csb0="00040001" w:csb1="00000000"/>
  </w:font>
  <w:font w:name="ヒラギノ角ゴ Pro W3">
    <w:altName w:val="SimSun-ExtB"/>
    <w:panose1 w:val="02030609000101010101"/>
    <w:charset w:val="00"/>
    <w:family w:val="roman"/>
    <w:pitch w:val="default"/>
    <w:sig w:usb0="00000000" w:usb1="00000000" w:usb2="00000000"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 w:name="汉鼎简中黑">
    <w:altName w:val="宋体"/>
    <w:panose1 w:val="02010609010101010101"/>
    <w:charset w:val="86"/>
    <w:family w:val="modern"/>
    <w:pitch w:val="default"/>
    <w:sig w:usb0="00000000" w:usb1="00000000" w:usb2="00000010" w:usb3="00000000" w:csb0="00040000" w:csb1="00000000"/>
  </w:font>
  <w:font w:name="方正书宋简体">
    <w:altName w:val="宋体"/>
    <w:panose1 w:val="03000509000000000000"/>
    <w:charset w:val="86"/>
    <w:family w:val="script"/>
    <w:pitch w:val="default"/>
    <w:sig w:usb0="00000000" w:usb1="00000000" w:usb2="0000001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10006FF" w:usb1="4000205B" w:usb2="0000001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华文中宋">
    <w:altName w:val="宋体"/>
    <w:panose1 w:val="02010600040101010101"/>
    <w:charset w:val="86"/>
    <w:family w:val="auto"/>
    <w:pitch w:val="default"/>
    <w:sig w:usb0="00000000" w:usb1="00000000" w:usb2="00000010" w:usb3="00000000" w:csb0="0004009F" w:csb1="00000000"/>
  </w:font>
  <w:font w:name="等线">
    <w:altName w:val="宋体"/>
    <w:panose1 w:val="02010600030101010101"/>
    <w:charset w:val="86"/>
    <w:family w:val="auto"/>
    <w:pitch w:val="default"/>
    <w:sig w:usb0="00000000" w:usb1="00000000" w:usb2="00000016" w:usb3="00000000" w:csb0="0004000F" w:csb1="00000000"/>
  </w:font>
  <w:font w:name="Lucida Sans">
    <w:altName w:val="Lucida Sans Unicode"/>
    <w:panose1 w:val="020B0602030504020204"/>
    <w:charset w:val="00"/>
    <w:family w:val="swiss"/>
    <w:pitch w:val="default"/>
    <w:sig w:usb0="00000000" w:usb1="00000000" w:usb2="00000000" w:usb3="00000000" w:csb0="00000001" w:csb1="00000000"/>
  </w:font>
  <w:font w:name="Batang">
    <w:altName w:val="GulimChe"/>
    <w:panose1 w:val="02030600000101010101"/>
    <w:charset w:val="81"/>
    <w:family w:val="roman"/>
    <w:pitch w:val="default"/>
    <w:sig w:usb0="00000000" w:usb1="00000000" w:usb2="00000030" w:usb3="00000000" w:csb0="000800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华文仿宋">
    <w:altName w:val="仿宋_GB2312"/>
    <w:panose1 w:val="02010600040101010101"/>
    <w:charset w:val="86"/>
    <w:family w:val="auto"/>
    <w:pitch w:val="default"/>
    <w:sig w:usb0="00000000" w:usb1="00000000" w:usb2="00000010" w:usb3="00000000" w:csb0="0004009F" w:csb1="00000000"/>
  </w:font>
  <w:font w:name="仿宋">
    <w:altName w:val="微软雅黑"/>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Adobe 宋体 Std L">
    <w:altName w:val="宋体"/>
    <w:panose1 w:val="02020300000000000000"/>
    <w:charset w:val="00"/>
    <w:family w:val="roman"/>
    <w:pitch w:val="default"/>
    <w:sig w:usb0="00000000" w:usb1="00000000" w:usb2="00000010" w:usb3="00000000" w:csb0="00060007" w:csb1="00000000"/>
  </w:font>
  <w:font w:name="长城仿宋">
    <w:altName w:val="黑体"/>
    <w:panose1 w:val="00000000000000000000"/>
    <w:charset w:val="86"/>
    <w:family w:val="modern"/>
    <w:pitch w:val="default"/>
    <w:sig w:usb0="00000000" w:usb1="00000000" w:usb2="00000010" w:usb3="00000000" w:csb0="00040000" w:csb1="00000000"/>
  </w:font>
  <w:font w:name="方正小标宋_GBK">
    <w:altName w:val="微软雅黑"/>
    <w:panose1 w:val="03000502000000000000"/>
    <w:charset w:val="86"/>
    <w:family w:val="script"/>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Times-Roman">
    <w:altName w:val="Times New Roman"/>
    <w:panose1 w:val="00000000000000000000"/>
    <w:charset w:val="00"/>
    <w:family w:val="auto"/>
    <w:pitch w:val="default"/>
    <w:sig w:usb0="00000000" w:usb1="00000000" w:usb2="00000000" w:usb3="00000000" w:csb0="00040001" w:csb1="00000000"/>
  </w:font>
  <w:font w:name="ˎ̥">
    <w:altName w:val="Times New Roman"/>
    <w:panose1 w:val="00000609000101010101"/>
    <w:charset w:val="01"/>
    <w:family w:val="roman"/>
    <w:pitch w:val="default"/>
    <w:sig w:usb0="00000000" w:usb1="00000000" w:usb2="00000000" w:usb3="00000000" w:csb0="00040001" w:csb1="00000000"/>
  </w:font>
  <w:font w:name="TimesNewRoman">
    <w:altName w:val="Segoe Print"/>
    <w:panose1 w:val="00000000000000000000"/>
    <w:charset w:val="00"/>
    <w:family w:val="auto"/>
    <w:pitch w:val="default"/>
    <w:sig w:usb0="00000000" w:usb1="00000000" w:usb2="00000000" w:usb3="00000000" w:csb0="00040001" w:csb1="00000000"/>
  </w:font>
  <w:font w:name="SimSun-ExtB">
    <w:panose1 w:val="02010609060101010101"/>
    <w:charset w:val="86"/>
    <w:family w:val="auto"/>
    <w:pitch w:val="default"/>
    <w:sig w:usb0="00000001" w:usb1="02000000" w:usb2="00000000" w:usb3="00000000" w:csb0="00040001" w:csb1="00000000"/>
  </w:font>
  <w:font w:name="Lucida Sans Unicode">
    <w:panose1 w:val="020B0602030504020204"/>
    <w:charset w:val="00"/>
    <w:family w:val="auto"/>
    <w:pitch w:val="default"/>
    <w:sig w:usb0="80001AFF" w:usb1="0000396B" w:usb2="00000000" w:usb3="00000000" w:csb0="200000BF" w:csb1="D7F70000"/>
  </w:font>
  <w:font w:name="GulimChe">
    <w:panose1 w:val="020B0609000101010101"/>
    <w:charset w:val="81"/>
    <w:family w:val="auto"/>
    <w:pitch w:val="default"/>
    <w:sig w:usb0="B00002AF" w:usb1="69D77CFB" w:usb2="00000030" w:usb3="00000000" w:csb0="4008009F" w:csb1="DFD7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C08D2"/>
    <w:multiLevelType w:val="singleLevel"/>
    <w:tmpl w:val="650C08D2"/>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B85D17"/>
    <w:rsid w:val="09B85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Cambria" w:hAnsi="Cambria"/>
      <w:b/>
      <w:bCs/>
      <w:sz w:val="32"/>
      <w:szCs w:val="32"/>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Body Text"/>
    <w:basedOn w:val="1"/>
    <w:uiPriority w:val="0"/>
    <w:rPr>
      <w:rFonts w:ascii="Calibri" w:hAnsi="Calibri"/>
      <w:sz w:val="30"/>
      <w:szCs w:val="24"/>
    </w:rPr>
  </w:style>
  <w:style w:type="paragraph" w:styleId="4">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省经济和信息化委员会</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2023-10-07T09:05:00Z</dcterms:created>
  <dc:creator>false</dc:creator>
  <cp:lastModifiedBy>false</cp:lastModifiedBy>
  <dcterms:modified xsi:type="dcterms:W3CDTF">2023-10-07T09:06:33Z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