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sz w:val="28"/>
          <w:szCs w:val="28"/>
        </w:rPr>
        <w:t xml:space="preserve">                         </w:t>
      </w:r>
      <w:r>
        <w:rPr>
          <w:rFonts w:ascii="黑体" w:hAnsi="黑体" w:eastAsia="黑体"/>
          <w:bCs/>
          <w:sz w:val="36"/>
          <w:szCs w:val="36"/>
        </w:rPr>
        <w:t xml:space="preserve"> 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江门市广悦电化有限公司年产8.1万吨烧碱生产线项目迁建情况</w:t>
      </w:r>
    </w:p>
    <w:tbl>
      <w:tblPr>
        <w:tblStyle w:val="4"/>
        <w:tblpPr w:leftFromText="180" w:rightFromText="180" w:vertAnchor="text" w:horzAnchor="page" w:tblpX="1427" w:tblpY="816"/>
        <w:tblW w:w="141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802"/>
        <w:gridCol w:w="1131"/>
        <w:gridCol w:w="2002"/>
        <w:gridCol w:w="3160"/>
        <w:gridCol w:w="990"/>
        <w:gridCol w:w="2468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拟建设地点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所属行业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企业名称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拟建主体设备规格型号及数量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产能（万吨/年）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计划建成投产时间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广东省江门市新会区古井镇珠西新材料集聚区115号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江门市广悦化工股份有限公司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烧碱生产线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91440700MAC66WWF07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2025.7</w:t>
            </w:r>
          </w:p>
        </w:tc>
      </w:tr>
    </w:tbl>
    <w:p>
      <w:pPr>
        <w:spacing w:line="60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一、拟建项目情况</w:t>
      </w:r>
    </w:p>
    <w:p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二、原项目情况</w:t>
      </w:r>
    </w:p>
    <w:tbl>
      <w:tblPr>
        <w:tblStyle w:val="4"/>
        <w:tblW w:w="14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785"/>
        <w:gridCol w:w="1140"/>
        <w:gridCol w:w="2000"/>
        <w:gridCol w:w="3200"/>
        <w:gridCol w:w="1000"/>
        <w:gridCol w:w="2360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项目所在地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所属行业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企业名称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拟迁主体设备规格型号及数量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产能（万吨/年）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计划停产时间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广东省江门市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江海区江海三路7号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江门市广悦电化有限公司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烧碱（A槽）生产线、NX-BiTACplus 8105、2台</w:t>
            </w:r>
          </w:p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烧碱（B槽）生产线、N-BiTAC896、2台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91440704770995526W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2025.7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微软雅黑"/>
    <w:panose1 w:val="020B0600040502020204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Times New Roman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TimesNew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5FD2"/>
    <w:rsid w:val="140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2024-01-29T11:50:00Z</dcterms:created>
  <dc:creator>林鑫毅</dc:creator>
  <cp:lastModifiedBy>林鑫毅</cp:lastModifiedBy>
  <dcterms:modified xsi:type="dcterms:W3CDTF">2024-01-29T11:51:12Z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